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40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001-41740</w:t>
            </w:r>
          </w:p>
        </w:tc>
        <w:tc>
          <w:tcPr>
            <w:tcW w:w="36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93-4958665</w:t>
            </w:r>
          </w:p>
        </w:tc>
        <w:tc>
          <w:tcPr>
            <w:tcW w:w="0" w:type="dxa"/>
            <w:vAlign w:val="bottom"/>
          </w:tcPr>
          <w:p>
            <w:pPr>
              <w:spacing w:after="0"/>
              <w:rPr>
                <w:sz w:val="1"/>
                <w:szCs w:val="1"/>
                <w:color w:val="auto"/>
              </w:rPr>
            </w:pPr>
          </w:p>
        </w:tc>
      </w:tr>
      <w:tr>
        <w:trPr>
          <w:trHeight w:val="238"/>
        </w:trPr>
        <w:tc>
          <w:tcPr>
            <w:tcW w:w="40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6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626"/>
        </w:trPr>
        <w:tc>
          <w:tcPr>
            <w:tcW w:w="69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221 Crescent St., Building 17, Suite 102b,</w:t>
            </w:r>
          </w:p>
        </w:tc>
        <w:tc>
          <w:tcPr>
            <w:tcW w:w="360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02453</w:t>
            </w:r>
          </w:p>
        </w:tc>
        <w:tc>
          <w:tcPr>
            <w:tcW w:w="0" w:type="dxa"/>
            <w:vAlign w:val="bottom"/>
          </w:tcPr>
          <w:p>
            <w:pPr>
              <w:spacing w:after="0"/>
              <w:rPr>
                <w:sz w:val="1"/>
                <w:szCs w:val="1"/>
                <w:color w:val="auto"/>
              </w:rPr>
            </w:pPr>
          </w:p>
        </w:tc>
      </w:tr>
      <w:tr>
        <w:trPr>
          <w:trHeight w:val="130"/>
        </w:trPr>
        <w:tc>
          <w:tcPr>
            <w:tcW w:w="4080" w:type="dxa"/>
            <w:vAlign w:val="bottom"/>
            <w:vMerge w:val="restart"/>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86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8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9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394-5230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6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APGE</w:t>
            </w:r>
          </w:p>
        </w:tc>
        <w:tc>
          <w:tcPr>
            <w:tcW w:w="3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June 18, 2026, Apogee Therapeutics, Inc. (the “Company” or “Apogee”) entered into an Agreement and Plan of Merger (the “Merger Agreement”) with Andor LLC, a Delaware limited liability company and a wholly owned subsidiary of Guarantor (“Parent”), Andor Merger Co., a Delaware corporation and a wholly owned subsidiary of Parent (“Merger Sub”), and solely for the limited purposes set forth therein, AbbVie Inc., a Delaware corporation (“Guarantor” or “AbbVie”). The Merger Agreement provides for, among other things, the merger of Merger Sub with and into the Company (the “Merger”), with the Company surviving the Merger as a wholly owned subsidiary of Parent. Capitalized terms used herein and not otherwise defined herein have the meanings set forth in the Merger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25" w:lineRule="exact"/>
        <w:rPr>
          <w:sz w:val="20"/>
          <w:szCs w:val="20"/>
          <w:color w:val="auto"/>
        </w:rPr>
      </w:pPr>
    </w:p>
    <w:p>
      <w:pPr>
        <w:jc w:val="both"/>
        <w:ind w:left="1080" w:hanging="640"/>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voting common stock of the Company, par value $0.00001 per share, and each share of non-voting common stock of the Company, par value $0.00001 per share (each, a “Share”), outstanding immediately prior to the Effective Time, but excluding each Share</w:t>
      </w:r>
    </w:p>
    <w:p>
      <w:pPr>
        <w:jc w:val="both"/>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owned by the Company or any of its wholly owned subsidiaries, (B) held by Guarantor, Parent, Merger Sub or any other wholly owned subsidiary of Guarantor, and (C) held by a stockholder who has not voted in favor of the adoption of the Merger Agreement or consented thereto and is entitled to and properly demands appraisal, will be converted automatically into the right to receive $135.11 per Share in cash (the “Merger Consideration”), without interest and subject to any applicable withholding taxes;</w:t>
      </w:r>
    </w:p>
    <w:p>
      <w:pPr>
        <w:spacing w:after="0" w:line="188" w:lineRule="exact"/>
        <w:rPr>
          <w:rFonts w:ascii="Times New Roman" w:cs="Times New Roman" w:eastAsia="Times New Roman" w:hAnsi="Times New Roman"/>
          <w:sz w:val="18"/>
          <w:szCs w:val="18"/>
          <w:color w:val="auto"/>
        </w:rPr>
      </w:pPr>
    </w:p>
    <w:p>
      <w:pPr>
        <w:jc w:val="both"/>
        <w:ind w:left="1080" w:hanging="640"/>
        <w:spacing w:after="0" w:line="25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(each, a “Company Option”) outstanding immediately prior to the Effective Time (whether vested or unvested) having an exercise price per Share that is less than the Merger Consideration will be cancelled and converted into the right to receive cash in an amount equal to the product of: (A) the total number of Shares subject to such Company Option immediately prior to the Effective Time, multiplied by (B) the excess of (x) the Merger Consideration over (y) the exercise price payable per Share under such Company Option, without interest and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w:t>
      </w:r>
    </w:p>
    <w:p>
      <w:pPr>
        <w:spacing w:after="0" w:line="188" w:lineRule="exact"/>
        <w:rPr>
          <w:rFonts w:ascii="Times New Roman" w:cs="Times New Roman" w:eastAsia="Times New Roman" w:hAnsi="Times New Roman"/>
          <w:sz w:val="18"/>
          <w:szCs w:val="18"/>
          <w:color w:val="auto"/>
        </w:rPr>
      </w:pPr>
    </w:p>
    <w:p>
      <w:pPr>
        <w:jc w:val="both"/>
        <w:ind w:left="1080" w:hanging="640"/>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of the Company (each, a “Company RSU”) outstanding immediately prior to the Effective Time will fully vest, be cancelled and convert into the right to receive a lump sum cash payment, without interest and subject to any applicable withholding taxes, equal to the product of (A) the Merger Consideration, multiplied by (B) the number of Shares subject to such Company RSU;</w:t>
      </w:r>
    </w:p>
    <w:p>
      <w:pPr>
        <w:spacing w:after="0" w:line="175" w:lineRule="exact"/>
        <w:rPr>
          <w:rFonts w:ascii="Times New Roman" w:cs="Times New Roman" w:eastAsia="Times New Roman" w:hAnsi="Times New Roman"/>
          <w:sz w:val="18"/>
          <w:szCs w:val="18"/>
          <w:color w:val="auto"/>
        </w:rPr>
      </w:pPr>
    </w:p>
    <w:p>
      <w:pPr>
        <w:jc w:val="both"/>
        <w:ind w:left="1080" w:hanging="640"/>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of the Company (the “Company Restricted Stock”) outstanding immediately prior to the Effective Time will fully vest and be converted into the right to receive the Merger Consideration for each such share of Company Restricted Stock; and</w:t>
      </w:r>
    </w:p>
    <w:p>
      <w:pPr>
        <w:spacing w:after="0" w:line="175" w:lineRule="exact"/>
        <w:rPr>
          <w:rFonts w:ascii="Times New Roman" w:cs="Times New Roman" w:eastAsia="Times New Roman" w:hAnsi="Times New Roman"/>
          <w:sz w:val="18"/>
          <w:szCs w:val="18"/>
          <w:color w:val="auto"/>
        </w:rPr>
      </w:pPr>
    </w:p>
    <w:p>
      <w:pPr>
        <w:jc w:val="both"/>
        <w:ind w:left="1080" w:hanging="640"/>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exercisable for Shares (each, a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transaction is not subject to any financing conditions. In addition, Guarantor has provided a guarantee, pursuant to which Guarantor has agreed to guarantee Parent’s and Merger Sub’s obligations under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consummation of the Merger is subject to certain customary conditions, including: (i) the receipt of approval of the Merger and adoption of the Merger Agreement by the Company’s stockholders; (ii) the receipt of required regulatory approvals or clearances, if any, with respect to certain antitrust laws (including the expiration or termination of any applicable waiting period (and any extension thereof) under the Hart-Scott-Rodino Antitrust Improvements Act of 1976); (iii) the absence of any law or order prohibiting or making illegal the consummation of the Merger; (iv) in the case of Parent and Merger Sub, the absence of any material adverse effect relating to the Company; and (v) the accuracy of the representations and warranties contained in the Merger Agreement (subject to certain materiality and material adverse effect qualifications) and compliance with the covenants and agreements in the Merger Agreement in all material respects by the parties to the Merger Agreement.</w:t>
      </w:r>
    </w:p>
    <w:p>
      <w:pPr>
        <w:spacing w:after="0" w:line="18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has made customary representations, warranties and covenants in the Merger Agreement, including certain covenants regarding the operation of the business of the Company and its subsidiaries prior to the Effective Time. The Company will also be subject to customary “no-shop” restrictions, subject to a “fiduciary out” provision that allows the Company, under certain specified circumstances, to provide information to, and participate in discussions and engage in negotiations with, third parties with respect to an alternative acquisition proposal, if the board of directors of the Company (the “Company Board”) determines in good faith, after consultation with its outside legal and financial advisors, that such alternative acquisition proposal constitutes or would reasonably be expected to constitute or lead to a Superior Proposal, and that the failure to take such actions would be inconsistent with the Company Board’s fiduciary duties under applicable law.</w:t>
      </w:r>
    </w:p>
    <w:p>
      <w:pPr>
        <w:spacing w:after="0" w:line="18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Merger Agreement includes a remedy of specific performance for the parties thereto. The Merger Agreement also contains certain termination rights for each of the Company and Parent, including the right of either the Company or Parent to terminate the Merger Agreement if the Merger is not consummated by December 18, 2026 (subject to two extensions for up to an additional six months each if all of the conditions to the Closing, other than the conditions related to the failure to obtain regulatory approvals, have been satisfied). The Merger Agreement also provides that upon the termination of the Merger Agreement under certain specified circumstances, the Company will be required to pay a termination fee of $381,273,716 to Parent, which circumstances include (i) a termination by the Company to accept and enter into a definitive agreement with respect to a Superior Proposal, (ii) a termination by Parent due to a Change in Recommendation and (iii) if the Merger Agreement is terminated under certain specified circumstances and prior to such termination a proposal (or intention to make a proposal) to acquire more than 50% of the Company’s stock or assets is publicly made or announced (and not subsequently withdrawn) and the Company enters into a definitive agreement for, or consummates, a transaction involving the acquisition of more than 50% of its stock or assets within twelve months of such termination. The Merger Agreement also provides that upon termination of the Merger Agreement under certain specified circumstances related to the failure to obtain regulatory approvals, Parent will be required to pay a termination fee of $381,273,716 to the Company.</w:t>
      </w:r>
    </w:p>
    <w:p>
      <w:pPr>
        <w:spacing w:after="0" w:line="19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which is filed as Exhibit 2.1 to this Current Report on Form 8-K and is incorporated herein by reference. The Merger Agreement has been filed to provide information to investors regarding its terms, and neither the Merger Agreement nor this summary should be relied upon as disclosures about the Company, Parent, Guarantor or Merger Sub. The Merger Agreement is not intended to provide any other factual information about the Company, Guarantor, Parent or Merger Sub, their respective businesses, or the actual conduct of their respective businesses during the period prior to the consummation of the Merger or the other transactions contemplated by the Merger Agreement. None of the Company’s stockholders or any other third parties should rely on the representations, warranties and covenants or any descriptions thereof as characterizations of the actual state of facts or conditions of the Company, Parent, Guarantor, Merger Sub or any of their respective subsidiaries or affiliates. The representations and warranties by each of the Company, Parent, Guarantor, and Merger Sub that are contained in the Merger Agreement are the product of negotiations among such parties and are made by such parties to, and solely for the benefit of, each other as of specified dates. These representations and warranties (i) should not be treated as categorical statements of fact, but rather as a way of allocating risk to one of the parties if those statements prove to be inaccurate; (ii) may be qualified in important part by confidential disclosure schedules delivered by the Company to Parent, Guarantor and Merger Sub in connection with the Merger Agreement; and (iii) may apply contractual standards of “materiality” that are different from “materiality” under applicable securities laws.</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tab/>
        <w:t>Submission of Matters to a Vote of Security Holders.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holders of the non-voting common stock of the Company executed and delivered to the Company a written consent adopting the entry into the Merger Agreement and consummation of the Merger under the Company’s certificate of incorporation. The consummation of the Merger remains subject to the affirmative vote of a majority of the voting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On June 22, 2026, the Company and Guarantor issued a joint press release announcing their entry into the Merger Agreement, a copy of which is filed as Exhibit 99.1 to this Current Report on Form 8-K.</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the accompanying Exhibit 99.1 are furnished and shall not be deemed “filed” for purposes of Section 18 of the Securities Exchange Act of 1934, as amended (the “Exchange Act”), or otherwise subject to the liabilities of that section or Sections 11 and 12(a)</w:t>
      </w:r>
    </w:p>
    <w:p>
      <w:pPr>
        <w:jc w:val="both"/>
        <w:ind w:firstLine="8"/>
        <w:spacing w:after="0" w:line="255"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nor shall it be deemed incorporated by reference in any filing with the Securities and Exchange Commission (the “SEC”) made by the Company, whether made before or after the date hereof, regardless of any general incorporation language in such filing.</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Parent, Merger Sub and Guarantor entered into a voting agreement (the “Voting Agreement”) with certain stockholders of the Company, whereby such stockholders have agreed, among other things, to vote their Shares in favor of the adoption of the Merger Agreement and approval of the Merger. The Voting Agreement will terminate upon termination of the Merger Agreement and certain other specified events.</w:t>
      </w:r>
    </w:p>
    <w:p>
      <w:pPr>
        <w:spacing w:after="0" w:line="180" w:lineRule="exact"/>
        <w:rPr>
          <w:sz w:val="20"/>
          <w:szCs w:val="20"/>
          <w:color w:val="auto"/>
        </w:rPr>
      </w:pPr>
    </w:p>
    <w:p>
      <w:pPr>
        <w:jc w:val="both"/>
        <w:ind w:firstLine="483"/>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subject to, and qualified in its entirety by reference to, the full text of the Voting Agreement, which is filed as Exhibit 99.2 to this Current Report on Form 8-K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17145"/>
                    </a:xfrm>
                    <a:prstGeom prst="rect">
                      <a:avLst/>
                    </a:prstGeom>
                    <a:noFill/>
                  </pic:spPr>
                </pic:pic>
              </a:graphicData>
            </a:graphic>
          </wp:anchor>
        </w:drawing>
      </w:r>
    </w:p>
    <w:p>
      <w:pPr>
        <w:spacing w:after="0" w:line="20" w:lineRule="exact"/>
        <w:rPr>
          <w:sz w:val="20"/>
          <w:szCs w:val="20"/>
          <w:color w:val="auto"/>
        </w:rPr>
      </w:pPr>
    </w:p>
    <w:p>
      <w:pPr>
        <w:jc w:val="both"/>
        <w:ind w:left="1100" w:hanging="516"/>
        <w:spacing w:after="0" w:line="261"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color w:val="auto"/>
        </w:rPr>
        <w:t>Agreement and Plan of Merger, dated as of June 18, 2026, by and among Apogee Therapeutics, Inc., Andor LLC, Andor Merger Co., and AbbVie Inc., solely for the limited purposes set forth therein.</w:t>
      </w:r>
    </w:p>
    <w:p>
      <w:pPr>
        <w:ind w:left="58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Joint Press Release, dated June 22, 2026, issued by Apogee Therapeutics, Inc. and AbbVie Inc.</w:t>
      </w:r>
    </w:p>
    <w:p>
      <w:pPr>
        <w:spacing w:after="0" w:line="9" w:lineRule="exact"/>
        <w:rPr>
          <w:sz w:val="20"/>
          <w:szCs w:val="20"/>
          <w:color w:val="auto"/>
        </w:rPr>
      </w:pPr>
    </w:p>
    <w:p>
      <w:pPr>
        <w:jc w:val="both"/>
        <w:ind w:left="1100" w:hanging="516"/>
        <w:spacing w:after="0" w:line="250"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color w:val="auto"/>
        </w:rPr>
        <w:t>Voting Agreement, dated as of June 18, 2026, by and among AbbVie Inc., Andor LLC, Andor Merger Co., Fairmount Healthcare Fund II L.P., Venrock Healthcare Capital Partners III, L.P., VHCP Co-Investment Holdings III, LLC and Venrock Healthcare Capital Partners EG, L.P.</w:t>
      </w:r>
    </w:p>
    <w:p>
      <w:pPr>
        <w:spacing w:after="0" w:line="1" w:lineRule="exact"/>
        <w:rPr>
          <w:sz w:val="20"/>
          <w:szCs w:val="20"/>
          <w:color w:val="auto"/>
        </w:rPr>
      </w:pPr>
    </w:p>
    <w:p>
      <w:pPr>
        <w:ind w:left="1100" w:hanging="471"/>
        <w:spacing w:after="0"/>
        <w:tabs>
          <w:tab w:leader="none" w:pos="1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520" w:right="160" w:hanging="18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pursuant to Item 601(b)(2) of Regulation S-K. The Company agrees to furnish supplementally to the SEC a copy of any omitted exhibits or schedules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Current Report on Form 8-K are forward-looking. In many cases, you can identify forward-looking statements by terminology, such as “may,” “should,” “expects,” “intends,” “plans,” “anticipates,” “believes,” “estimates,” “predicts,” “potential,” “continue” or the negative of such terms and other comparable terminology. Statements in this Current Report on Form 8-K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4" w:lineRule="exact"/>
        <w:rPr>
          <w:sz w:val="20"/>
          <w:szCs w:val="20"/>
          <w:color w:val="auto"/>
        </w:rPr>
      </w:pPr>
    </w:p>
    <w:p>
      <w:pPr>
        <w:jc w:val="both"/>
        <w:ind w:firstLine="44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w:t>
      </w:r>
      <w:hyperlink r:id="rId22">
        <w:r>
          <w:rPr>
            <w:rFonts w:ascii="Times New Roman" w:cs="Times New Roman" w:eastAsia="Times New Roman" w:hAnsi="Times New Roman"/>
            <w:sz w:val="18"/>
            <w:szCs w:val="18"/>
            <w:u w:val="single" w:color="auto"/>
            <w:color w:val="0000EE"/>
          </w:rPr>
          <w:t>February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respectively, and subsequent Quarterly Reports on Form 10-Q and Current Reports on Form 8-K.</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www.sec.gov or by accessing the Investors section of Apogee’s website at https://investors.apogeetherapeutics.com.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441"/>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25">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and in Apogee’s Current Reports on Form 8-K, filed with the SEC on </w:t>
      </w:r>
      <w:hyperlink r:id="rId26">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June 12, 2026</w:t>
        </w:r>
      </w:hyperlink>
      <w:r>
        <w:rPr>
          <w:rFonts w:ascii="Times New Roman" w:cs="Times New Roman" w:eastAsia="Times New Roman" w:hAnsi="Times New Roman"/>
          <w:sz w:val="18"/>
          <w:szCs w:val="18"/>
          <w:color w:val="auto"/>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w:t>
      </w:r>
      <w:hyperlink r:id="rId28">
        <w:r>
          <w:rPr>
            <w:rFonts w:ascii="Times New Roman" w:cs="Times New Roman" w:eastAsia="Times New Roman" w:hAnsi="Times New Roman"/>
            <w:sz w:val="18"/>
            <w:szCs w:val="18"/>
            <w:color w:val="auto"/>
          </w:rPr>
          <w:t xml:space="preserve">Annual Meeting of Stockholders, filed with the SEC on </w:t>
        </w:r>
        <w:r>
          <w:rPr>
            <w:rFonts w:ascii="Times New Roman" w:cs="Times New Roman" w:eastAsia="Times New Roman" w:hAnsi="Times New Roman"/>
            <w:sz w:val="18"/>
            <w:szCs w:val="18"/>
            <w:u w:val="single" w:color="auto"/>
            <w:color w:val="0000EE"/>
          </w:rPr>
          <w:t>March 23, 2026</w:t>
        </w:r>
        <w:r>
          <w:rPr>
            <w:rFonts w:ascii="Times New Roman" w:cs="Times New Roman" w:eastAsia="Times New Roman" w:hAnsi="Times New Roman"/>
            <w:sz w:val="18"/>
            <w:szCs w:val="18"/>
            <w:color w:val="auto"/>
          </w:rPr>
          <w:t xml:space="preserve">, and in AbbVie’s Current Report on Form 8-K, filed with the SEC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To the extent holdings of Apogee’s securities and AbbVie’s securities by their respective directors or executive officers have changed since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ind w:left="500"/>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tab/>
        <w:t>/s/Michael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Henderson, M.D.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ANDOR LLC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ANDOR MERGER 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ABBVIE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solely for the limited purposes set forth herein.</w:t>
      </w:r>
    </w:p>
    <w:p>
      <w:pPr>
        <w:spacing w:after="0" w:line="23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71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1.6</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Directors of the Surviving Corporation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of the Surviving Corporation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1.8</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 Action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CONVERSION OF SHARES; EXCHANGE OF CERTIFICATES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on Capital Stock</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of Certificates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3.6</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3.7</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203 of the DGCL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3.8</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3.9</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3.10</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Title to Assets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3.11</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3.12</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Intellectual Property; Data Privacy and Security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3.13</w:t>
            </w:r>
          </w:p>
        </w:tc>
        <w:tc>
          <w:tcPr>
            <w:tcW w:w="7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3.14</w:t>
            </w: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3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730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(cont’d)</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6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3.15</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3.16</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3.17</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3.18</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3.19</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3.20</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3.21</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3.22</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3.23</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3.24</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3.25</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Personal Property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3.26</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3.27</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Major Suppliers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3.28</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Opinions of Financial Advisors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3.29</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Advisors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3.30</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Parent and Merger Sub</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4.4</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4.5</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4.6</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Absence of Litigation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4.7</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4.8</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4.9</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Intention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4.10</w:t>
            </w: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4.11</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 OF THE PARTIES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 Change in Recommendation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Written Consent; Preparation of Proxy Statement and the Company Stockholders’ Meeting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Filings, Consents, and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5.6</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5.7</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5.8</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5.9</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Agreements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5.10</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5.12</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 Stockholder Consent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5.14</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Exchange Delisting; Deregistration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5.15</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5.16</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PRECEDENT TO THE CLOSING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Each Party to Effect the Closing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the Company to Effect the Closing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Parent and Merger Sub to Effect the Closing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and Abandonment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Termination; Survival</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MISCELLANEOUS PROVISIONS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8.4</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Applicable Laws; Jurisdiction; Specific Performance; Remedies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8.5</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8.6</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8.7</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8.8</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8.9</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8.10</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Guarantee of Guarantor</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8.11</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Taxes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8.12</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8.13</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Voting Agreement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 of Incorporation of the Surviving Corporation</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D</w:t>
            </w:r>
          </w:p>
        </w:tc>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Written Consent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is made and entered into as of June 18, 2026, by and among: Andor LLC,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 wholly owned Subsidiary of Guarantor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Andor Merger Co., a Delaware corporation and a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Apogee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solely for the purposes of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AbbVie Inc., a Delaware corporation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Parent desires to acquire the Company on the terms and subject to the conditions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furtherance of such acquisition of the Company by Parent, and 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Merger Sub shall be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 owned Subsidiary of Parent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unanimously (a) determined that the consummation of the Merger, the transactions contemplated by this Agreement (such transactions, together with the Merger,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are advisable and fair to, and in the best interests of, the Company and its stockholders, (b) authorized and approved the execution, delivery and performance of this Agreement by the Company and approved the Merger, (c) recommended the adoption of this Agreement by the holders of Company Common Stock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Recommendation</w:t>
      </w:r>
      <w:r>
        <w:rPr>
          <w:rFonts w:ascii="Times New Roman" w:cs="Times New Roman" w:eastAsia="Times New Roman" w:hAnsi="Times New Roman"/>
          <w:sz w:val="18"/>
          <w:szCs w:val="18"/>
          <w:color w:val="auto"/>
        </w:rPr>
        <w:t>”), and (d) directed that such matter be submitted to the Company’s stockholders for their adoption.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boards of directors of Parent and Merger Sub have unanimously approved the execution, delivery, and performance of this Agreement and the consummation of the Transactions, including the Merger, and declared it advisable for Parent and Merger Sub, respectively, to enter into this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Fairmount Healthcare Fund II L.P., Venrock Healthcare Capital Partners III, L.P., VHCP Co-Investment Holdings III, LLC and Venrock Healthcare Capital Partners EG, L.P. (together, the “</w:t>
      </w:r>
      <w:r>
        <w:rPr>
          <w:rFonts w:ascii="Times New Roman" w:cs="Times New Roman" w:eastAsia="Times New Roman" w:hAnsi="Times New Roman"/>
          <w:sz w:val="18"/>
          <w:szCs w:val="18"/>
          <w:b w:val="1"/>
          <w:bCs w:val="1"/>
          <w:i w:val="1"/>
          <w:iCs w:val="1"/>
          <w:color w:val="auto"/>
        </w:rPr>
        <w:t>Supporting Stockholders</w:t>
      </w:r>
      <w:r>
        <w:rPr>
          <w:rFonts w:ascii="Times New Roman" w:cs="Times New Roman" w:eastAsia="Times New Roman" w:hAnsi="Times New Roman"/>
          <w:sz w:val="18"/>
          <w:szCs w:val="18"/>
          <w:color w:val="auto"/>
        </w:rPr>
        <w:t>”), each a holder of shares of Company Non-Voting Common Stock, have delivered a Written Consent to the Company and, concurrently with the execution and delivery of this Agreement and as an inducement to each of Guarantor’s, Parent’s and Merger Sub’s willingness to enter into this Agreement, each of the Supporting Stockholders is entering into a voting agreement in the form attached as Exhibit B hereto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pursuant to which, and subject to the terms and conditions thereto, among other things, the Supporting Stockholders have agreed to vote their Company Common Stock in favor of the Transactions,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Concurrently with the execution and delivery of this Agreement and as an inducement to each of Guarantor’s, Parent’s and Merger Sub’s willingness to enter into this Agreement, certain individuals have each entered into a restrictive covenant agreement with Parent, each of which shall become effective at the Effective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Immediately following the execution and delivery of this Agreement, Parent, as the sole stockholder of Merger Sub, shall approve and adopt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intending to be legally bound, Parent, Merger Sub, the Company and for the limited purposes set forth herein, Guarantor,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On the terms and subject to the conditions set forth in this Agreement, and in accordance with the DGCL, at the Effective Time, Merger Sub shall merge with and into the Company, the separate corporate existence of Merger Sub shall cease, and the Company shall continue its corporate existence under the laws of the State of Delaware (“</w:t>
      </w:r>
      <w:r>
        <w:rPr>
          <w:rFonts w:ascii="Times New Roman" w:cs="Times New Roman" w:eastAsia="Times New Roman" w:hAnsi="Times New Roman"/>
          <w:sz w:val="18"/>
          <w:szCs w:val="18"/>
          <w:b w:val="1"/>
          <w:bCs w:val="1"/>
          <w:i w:val="1"/>
          <w:iCs w:val="1"/>
          <w:color w:val="auto"/>
        </w:rPr>
        <w:t>Delaware Law</w:t>
      </w:r>
      <w:r>
        <w:rPr>
          <w:rFonts w:ascii="Times New Roman" w:cs="Times New Roman" w:eastAsia="Times New Roman" w:hAnsi="Times New Roman"/>
          <w:sz w:val="18"/>
          <w:szCs w:val="18"/>
          <w:color w:val="auto"/>
        </w:rPr>
        <w:t>”) as the Surviving Corporation and a wholly owned Subsidiary of Parent.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(a) remotely by electronic exchange of executed documents, commencing at 10:00 a.m., New York City time, on the date that is two (2) business days after the date on which all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by actions to be taken at the Closing, but subject to the satisfaction or waiver thereof at or prior to the Closing) or (b) at such other place, time, and date as the Company and Parent may agree in writing. The date on which the Closing actually occurs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 at the Closing, the Company, Parent, and Merger Sub shall cause a certificate of merger (the “</w:t>
      </w: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to be filed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date or time as may be agreed by the Company and Parent and specified in the Certificate of Merger in accordance with the DGCL (the effective time of the Merger being referred to as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the applicable provisions of the DGCL.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Organizational Documents of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certificate of incorporation of the Surviving Corporation shall be amended and restated to conform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until,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thereafter amended in accordance with the applicable provisions of the DGCL and such certificate of incorporation.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1304"/>
        <w:spacing w:after="0" w:line="258" w:lineRule="auto"/>
        <w:tabs>
          <w:tab w:leader="none" w:pos="1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take all necessary action such that the bylaws of Merger Sub as in effect immediately prior to the Effective Time shall become the bylaws of the Surviving Corporation (except that all references in such bylaws of Merger Sub to its name, date of incorporation, registered office or registered agent shall instead refer to the name, date of incorporation, registered office and registered agent, respectively, of the Surviving Corporation) until,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thereafter amended in accordance with the applicable provisions of the DGCL, the certificate of incorporation of the Surviving Corporation and such bylaws.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Directors of the Surviving Corporation</w:t>
      </w:r>
      <w:r>
        <w:rPr>
          <w:rFonts w:ascii="Times New Roman" w:cs="Times New Roman" w:eastAsia="Times New Roman" w:hAnsi="Times New Roman"/>
          <w:sz w:val="18"/>
          <w:szCs w:val="18"/>
          <w:color w:val="auto"/>
        </w:rPr>
        <w:t>. The Parties shall take all necessary action such that the directors of Merger Sub as of immediately prior to the Effective Time shall become the only directors of the Surviving Corporation and such directors shall hold office until their respective successors are duly elected and qualified, or their earlier death, resignation, or removal.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Officers of the Surviving Corporation</w:t>
      </w:r>
      <w:r>
        <w:rPr>
          <w:rFonts w:ascii="Times New Roman" w:cs="Times New Roman" w:eastAsia="Times New Roman" w:hAnsi="Times New Roman"/>
          <w:sz w:val="18"/>
          <w:szCs w:val="18"/>
          <w:color w:val="auto"/>
        </w:rPr>
        <w:t>. The officers of Merger Sub as of immediately prior to the Effective Time shall be the initial officers of the Surviving Corporation and shall hold office until their respective successors are duly elected and qualified, or their earlier death, incapacitation, retirement, resignation, or removal.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SHARES; EXCHANGE OF CERTIFICATES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Merger Sub, or the holders of any security of the Company or Merger Sub:</w:t>
      </w:r>
    </w:p>
    <w:p>
      <w:pPr>
        <w:spacing w:after="0" w:line="157"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1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Each share of Company Common Stock (each, a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that is outstanding immediately prior to the Effective Time, but excluding Cancelled Shares and Dissenting Shares, shall be converted automatically into the right to receive $135.11 per Share in cash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All Shares that have been converted into the right to receive the Merger Consideration as provided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cease to exist and no longer be outstanding, and any holder of Book-Entry Shares, or Certificates that immediately prior to the Effective Time represented such Shares, shall cease to have any right with respect to such Shares other than the right to receive the Merger Consideration.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left="660" w:firstLine="1292"/>
        <w:spacing w:after="0" w:line="261" w:lineRule="auto"/>
        <w:tabs>
          <w:tab w:leader="none" w:pos="22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Shares</w:t>
      </w:r>
      <w:r>
        <w:rPr>
          <w:rFonts w:ascii="Times New Roman" w:cs="Times New Roman" w:eastAsia="Times New Roman" w:hAnsi="Times New Roman"/>
          <w:sz w:val="18"/>
          <w:szCs w:val="18"/>
          <w:color w:val="auto"/>
        </w:rPr>
        <w:t>. Each Share that is (a) owned by the Company or any wholly owned Company Subsidiary as treasury stock or otherwise, including Shares reserved for issuance under the Company Equity Plan or the Company ESPP, or (b) held, directly or indirectly, by Guarantor, Parent, Merger Sub, or any other wholly owned Subsidiary of Guarantor immediately prior to the Effective Time (the “</w:t>
      </w:r>
      <w:r>
        <w:rPr>
          <w:rFonts w:ascii="Times New Roman" w:cs="Times New Roman" w:eastAsia="Times New Roman" w:hAnsi="Times New Roman"/>
          <w:sz w:val="18"/>
          <w:szCs w:val="18"/>
          <w:b w:val="1"/>
          <w:bCs w:val="1"/>
          <w:i w:val="1"/>
          <w:iCs w:val="1"/>
          <w:color w:val="auto"/>
        </w:rPr>
        <w:t>Cancelled Shares</w:t>
      </w:r>
      <w:r>
        <w:rPr>
          <w:rFonts w:ascii="Times New Roman" w:cs="Times New Roman" w:eastAsia="Times New Roman" w:hAnsi="Times New Roman"/>
          <w:sz w:val="18"/>
          <w:szCs w:val="18"/>
          <w:color w:val="auto"/>
        </w:rPr>
        <w:t>”), shall be cancelled and shall cease to exist,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Merger Sub Common Stock</w:t>
      </w:r>
      <w:r>
        <w:rPr>
          <w:rFonts w:ascii="Times New Roman" w:cs="Times New Roman" w:eastAsia="Times New Roman" w:hAnsi="Times New Roman"/>
          <w:sz w:val="18"/>
          <w:szCs w:val="18"/>
          <w:color w:val="auto"/>
        </w:rPr>
        <w:t>. Each share of common stock, par value $0.001 per share, of Merger Sub outstanding immediately prior to the Effective Time shall be converted into and become one validly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between the date of this Agreement and the Effective Time, the outstanding Shares are changed in accordance with this Agreement into a different number or class of shares by reason of any stock split, division or subdivision of shares, stock dividend, reverse stock split, consolidation of shares, reclassification, recapitalization or other similar transaction, then the amount of cash into which each Share is converted in the Merger shall be adjusted to the extent appropriate. For the avoidance of doubt, the Company Warrants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connection with the Merger.</w:t>
      </w:r>
    </w:p>
    <w:p>
      <w:pPr>
        <w:spacing w:after="0" w:line="183" w:lineRule="exact"/>
        <w:rPr>
          <w:sz w:val="20"/>
          <w:szCs w:val="20"/>
          <w:color w:val="auto"/>
        </w:rPr>
      </w:pPr>
    </w:p>
    <w:p>
      <w:pPr>
        <w:jc w:val="both"/>
        <w:ind w:firstLine="1304"/>
        <w:spacing w:after="0" w:line="252" w:lineRule="auto"/>
        <w:tabs>
          <w:tab w:leader="none" w:pos="15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in this Agreement, to the extent required by the DGCL, any Share that is issued and outstanding immediately prior to the Effective Time and that is held by a holder who has not voted in favor of the adoption of this Agreement or consented thereto in writing and is entitled to demand and properly demands appraisal of such Share, as applicable (a “</w:t>
      </w:r>
      <w:r>
        <w:rPr>
          <w:rFonts w:ascii="Times New Roman" w:cs="Times New Roman" w:eastAsia="Times New Roman" w:hAnsi="Times New Roman"/>
          <w:sz w:val="18"/>
          <w:szCs w:val="18"/>
          <w:b w:val="1"/>
          <w:bCs w:val="1"/>
          <w:i w:val="1"/>
          <w:iCs w:val="1"/>
          <w:color w:val="auto"/>
        </w:rPr>
        <w:t>Dissenting Share</w:t>
      </w:r>
      <w:r>
        <w:rPr>
          <w:rFonts w:ascii="Times New Roman" w:cs="Times New Roman" w:eastAsia="Times New Roman" w:hAnsi="Times New Roman"/>
          <w:sz w:val="18"/>
          <w:szCs w:val="18"/>
          <w:color w:val="auto"/>
        </w:rPr>
        <w:t>”), pursuant to, and who has properly exercised and perfected his or her demand for appraisal rights under and complies in all respects with, Section 262 of the DGCL (the “</w:t>
      </w:r>
      <w:r>
        <w:rPr>
          <w:rFonts w:ascii="Times New Roman" w:cs="Times New Roman" w:eastAsia="Times New Roman" w:hAnsi="Times New Roman"/>
          <w:sz w:val="18"/>
          <w:szCs w:val="18"/>
          <w:b w:val="1"/>
          <w:bCs w:val="1"/>
          <w:i w:val="1"/>
          <w:iCs w:val="1"/>
          <w:color w:val="auto"/>
        </w:rPr>
        <w:t>Appraisal Rights</w:t>
      </w:r>
      <w:r>
        <w:rPr>
          <w:rFonts w:ascii="Times New Roman" w:cs="Times New Roman" w:eastAsia="Times New Roman" w:hAnsi="Times New Roman"/>
          <w:sz w:val="18"/>
          <w:szCs w:val="18"/>
          <w:color w:val="auto"/>
        </w:rPr>
        <w:t xml:space="preserve">”) shall not be converted into the right to receive the Merger Consideration but instead shall entitle the holder thereof only to such rights as are granted to holders of Dissenting Shares pursuant to Section 262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Dissenting Share held by a holder who shall have failed to perfect or otherwise shall have waived, withdrawn, or otherwise lost his or her Appraisal Rights in respect of such Dissenting Share, then such Dissenting Share shall be deemed no longer to be a Dissenting Share and be treated as if it had been converted into, and become exchangeable solely for, as of the Effective Time the right to receive, without interest or duplication, the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Company shall give prompt written notice to Parent of any demand received by the Company for the appraisal of any Share (or any written threat thereof), of any withdrawal (purported or otherwise) of any such demand and of any other document or instrument served pursuant to the DGCL and received by the Company arising under Section 262 of the DGCL and any alleged dissenter’s right. Parent shall have the right to participate in any and all negotiations and Legal Proceedings with respect to any such demand. During the Pre-Closing Period, the Company shall not, without the prior written consent of Parent, make any payment or demand with respect to, or settle or compromise or offer to settle or compromise, any such payment or demand, or agree to do any of the foregoing.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1304"/>
        <w:spacing w:after="0" w:line="261" w:lineRule="auto"/>
        <w:tabs>
          <w:tab w:leader="none" w:pos="15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If, during the Pre-Closing Period, the outstanding Shares of the Company shall have been changed into a different number of Shares or a different class of shares by reason of any stock dividend, subdivision, reorganization, reclassification, recapitalization, stock split, reverse stock split, combination, or exchange of Shares, the Merger Consideration shall be equitably adjusted, without duplication, to proportionally reflect such change.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No later than the Effective Time, Parent shall deposit, or shall cause to be deposited, with a U.S. bank or trust company that shall be appointed to act as a paying agent hereunder and approved in advance by the Company in writing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in trust for the benefit of holders of the Shares, cash in U.S. dollars sufficient to pay the aggregate Merger Consideration in exchange for all of the Shares outstanding immediately prior to the Effective Time (other than the Cancelled Shares), payable upon due surrender of the certificates that, immediately prior to the Effective Time, represented Shares (“</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(or effective affidavits of loss in lieu thereof) or uncertificated Shares represented by book-entry (“</w:t>
      </w:r>
      <w:r>
        <w:rPr>
          <w:rFonts w:ascii="Times New Roman" w:cs="Times New Roman" w:eastAsia="Times New Roman" w:hAnsi="Times New Roman"/>
          <w:sz w:val="18"/>
          <w:szCs w:val="18"/>
          <w:b w:val="1"/>
          <w:bCs w:val="1"/>
          <w:i w:val="1"/>
          <w:iCs w:val="1"/>
          <w:color w:val="auto"/>
        </w:rPr>
        <w:t>Book-Entry Shares</w:t>
      </w:r>
      <w:r>
        <w:rPr>
          <w:rFonts w:ascii="Times New Roman" w:cs="Times New Roman" w:eastAsia="Times New Roman" w:hAnsi="Times New Roman"/>
          <w:sz w:val="18"/>
          <w:szCs w:val="18"/>
          <w:color w:val="auto"/>
        </w:rPr>
        <w:t xml:space="preserve">”)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(such cash being referred to as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left="660" w:firstLine="1292"/>
        <w:spacing w:after="0" w:line="234" w:lineRule="auto"/>
        <w:tabs>
          <w:tab w:leader="none" w:pos="21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and in any event not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Closing Date, Parent shall cause the Paying Agent to mail to each holder of record of Shares whose Shares were Certificated and converted into the right to receive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 a letter of transmittal (which shall specify that delivery shall be effected, and risk of loss and title to Certificates shall pass, only upon delivery of Certificates (or effective affidavits of loss in lieu thereof) to the Paying Agent and shall be in such form and have such other provisions as Parent and the Company may mutually reasonably agree) and (B) instructions for use in effecting the surrender of Certificates (or effective affidavits of loss in lieu thereof) in exchange for Merger Consideration.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left="660" w:firstLine="1292"/>
        <w:spacing w:after="0" w:line="253" w:lineRule="auto"/>
        <w:tabs>
          <w:tab w:leader="none" w:pos="223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surrender of Certificates (or effective affidavits of loss in lieu thereof)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(or such other evidence, if any, of transfer as the Paying Agent may reasonably request) in the case of a book-entry transfer of Book-Entry Shares, the holder of such Certificates (or effective affidavits of loss in lieu thereof) or Book-Entry Shares shall be entitled to receive in exchange therefor an amount in cash equal to the product of (x) the number of Shares represented by such holder’s properly surrendered Certificates (or effective affidavits of loss in lieu thereof) or Book-Entry Shares and (y) the Merger Consideration.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No interest shall be paid or accrued on any amount payable upon due surrender of Certificates (or effective affidavits of loss in lieu thereof). In the event of a transfer of ownership of Shares that is not registered in the stock transfer books of the Company,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each of Guarantor, Parent, the Company, their respective Affiliates and the Paying Agent, as applicable, shall be entitled to deduct and withhold from any amount otherwise payable under this Agreement (including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such amounts as are required to be withheld or deducted under the Code, or under any provision of state, local, or non-U.S. Tax Law, with respect to the making of such payment. Any amounts so deducted or withheld shall be timely paid over to the appropriate Governmental Body. To the extent that amounts are so deducted or withheld and timely paid over to the relevant Governmental Body, such deducted or withheld amounts shall be treated for all purposes of this Agreement as having been paid to the Person in respect of which such deduction or withholding was made.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Transfer Books</w:t>
      </w:r>
      <w:r>
        <w:rPr>
          <w:rFonts w:ascii="Times New Roman" w:cs="Times New Roman" w:eastAsia="Times New Roman" w:hAnsi="Times New Roman"/>
          <w:sz w:val="18"/>
          <w:szCs w:val="18"/>
          <w:color w:val="auto"/>
        </w:rPr>
        <w:t xml:space="preserve">. At the Effective Time, the stock transfer books of the Company shall be closed, and there shall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shall be given a copy of the letter of transmittal referred to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instructed to comply with the instructions in that letter of transmittal in order to receive the cash to which such holder is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(including the proceeds of any investment thereof) that remains undistributed to the former holders of Shares on the 12-month anniversary of the Effective Time shall thereafter be delivered to the Surviving Corporation upon demand, and any former holder of Shares who has not surrendered their Shares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payment of their claim for the Merger Consideration, without any interest thereon, upon due surrender of their Shares.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Notwithstanding anything to the contrary in this Agreement, none of the Company, Guarantor, Parent, Merger Sub, the Surviving Corporation, the Paying Agent, or any other Person shall be liable to any former holder of Shares for any amount properly delivered to a public official pursuant to any applicable abandoned property, escheat, or similar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1304"/>
        <w:spacing w:after="0" w:line="255" w:lineRule="auto"/>
        <w:tabs>
          <w:tab w:leader="none" w:pos="15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All cash included in the Exchange Fund shall be invested by the Paying Agent as directed by Parent;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investment or loss thereon shall affect the amounts payable to holders of Certificates (or effective affidavits of loss in lieu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following any loss from any such investment, Parent shall promptly provide additional funds to the Paying Agent for the benefit of the holders of Shares of the Company. Any interest and other income resulting from such investments that is not required to satisfy payments to holders of Certificates (or effective affidavits of loss in lieu thereof)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paid to the Surviving Corporation or Parent, as directed by Parent, on the earlier of (i) one (1) year after the Effective Time or (ii) the full payment of the Exchange Fund.</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In the case of any Certificate that has been lost, stolen, or destroyed, upon the making of an affidavit in customary form of that fact by the Person claiming such Certificate to be lost, stolen, or destroyed and, if required by the Paying Agent, the posting by such Person of a bond in reasonable and customary amount as Parent or the Paying Agent may direct, as indemnity against any claim that may be made against it or the Surviving Corporation with respect to such Certificate, the Paying Agent shall issue in exchange for such lost, stolen, or destroyed Certificate a check in the amount of the number of Shares represented by such lost, stolen, or destroyed Certificate multiplied by the Merger Consideration.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by virtue of the Merger and without any further action on the part of the holders thereof, Guarantor, Parent, Merger Sub, or the Company, other than as set out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each then-outstanding Company Equity Award shall be treated as follows: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1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Option outstanding immediately prior to the Effective Time (whether vested or unvested) having an exercise price per Share that is less than the Merger Consideration shall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which amount, if any, shall be paid in accordance with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outstanding immediately prior to the Effective Time (whether vested or unvested) having an exercise price per Share that is greater than or equal to the Merger Consideration shall be cancelled without any consideration being payable in respect thereof, and have no further force or effect;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Restricted Stock Units outstanding immediately prior to the Effective Time shall fully vest, be cancelled, and convert into the right to receive a lump sum cash payment, without interest, equal to the product of (A) the Merger Consideration multiplied by (B) the number of Shares subject to such award of Company Restricted Stock Units;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660" w:firstLine="1292"/>
        <w:spacing w:after="0" w:line="282" w:lineRule="auto"/>
        <w:tabs>
          <w:tab w:leader="none" w:pos="226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Restricted Stock outstanding immediately prior to the Effective Time shall fully vest and be converted into the right to receive the Merger Consideration for each such share of Company Restricted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amount payable under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that constitutes nonqualified deferred compensation subject to Section 409A of the Code, to the extent that payment of such amount would otherwise cause the imposition of a Tax or penalty under Section 409A of the Code, such payment shall instead be made at the earliest time permitted under this Agreement and the terms of the corresponding award that will not result in the imposition of such Tax or penalty.</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described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(except in the case of any Company Restricted Stock for which an election under Code Section 83(b) was timely made) shall be paid through the payroll system or payroll provider of the Surviving Corporation or its applicable Affiliate in the next regularly scheduled payroll of the Company that is at least five (5) days following the Effective Time, except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Notwithstanding anything to the contrary in the foregoing, if any such payment cannot be made through such payroll system or payroll provider, then the Surviving Corporation or its applicable Affiliate will issue a check for such payment at the same time that the payments are made through payroll, except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if appropriate, any appropriate committee thereof) will pass such resolutions and take all actions reasonably necessary with respect to the Company ESPP to, contingent on the Effective Time, provide that (i) except for the offering period under the Company ESPP in effect on the date hereof (the “</w:t>
      </w:r>
      <w:r>
        <w:rPr>
          <w:rFonts w:ascii="Times New Roman" w:cs="Times New Roman" w:eastAsia="Times New Roman" w:hAnsi="Times New Roman"/>
          <w:sz w:val="18"/>
          <w:szCs w:val="18"/>
          <w:u w:val="single" w:color="auto"/>
          <w:color w:val="auto"/>
        </w:rPr>
        <w:t>Final Offering Period</w:t>
      </w:r>
      <w:r>
        <w:rPr>
          <w:rFonts w:ascii="Times New Roman" w:cs="Times New Roman" w:eastAsia="Times New Roman" w:hAnsi="Times New Roman"/>
          <w:sz w:val="18"/>
          <w:szCs w:val="18"/>
          <w:color w:val="auto"/>
        </w:rPr>
        <w:t>”), no new offering period will commence following the date hereof unless and until this Agreement is terminated; and (ii) from and after the date hereof, no new participants will be permitted to participate in the Company ESPP and participants will not be permitted to increase their payroll deductions or purchase elections from those in effect on the date of this Agreement. If the Effective Time occurs: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Final Offering Period, (A) the final exercise date(s) under the Company ESPP shall be such date as the Company Board (or, if appropriate, any appropriate committee thereof) determines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shall be no later than the date that is five (5) days prior to the Effective Time) (the “</w:t>
      </w:r>
      <w:r>
        <w:rPr>
          <w:rFonts w:ascii="Times New Roman" w:cs="Times New Roman" w:eastAsia="Times New Roman" w:hAnsi="Times New Roman"/>
          <w:sz w:val="18"/>
          <w:szCs w:val="18"/>
          <w:u w:val="single" w:color="auto"/>
          <w:color w:val="auto"/>
        </w:rPr>
        <w:t>Final Exercise Date</w:t>
      </w:r>
      <w:r>
        <w:rPr>
          <w:rFonts w:ascii="Times New Roman" w:cs="Times New Roman" w:eastAsia="Times New Roman" w:hAnsi="Times New Roman"/>
          <w:sz w:val="18"/>
          <w:szCs w:val="18"/>
          <w:color w:val="auto"/>
        </w:rPr>
        <w:t xml:space="preserve">”), and (B) each Company ESPP participant’s accumulated contributions under the Company ESPP shall be used to purchase whole Shares in accordance with the terms of the Company ESPP as of the Final Exercise Date,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(y) after the end of the Final Offering Period, all amounts allocated to each participant’s account under the Company ESPP at the end of the Final Offering Period shall thereupon be used to purchase whole Shares under the terms of the Company ESPP for such offering period,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As promptly as practicable following the purchase of Shares in accordance with the foregoing clauses (x) or (y), the Company shall return to each participant the funds, if any, that remain in such participant’s account after such purchase.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firstLine="1304"/>
        <w:spacing w:after="0" w:line="282" w:lineRule="auto"/>
        <w:tabs>
          <w:tab w:leader="none" w:pos="15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contingent upon the Effective Time, the Company Board (or, if appropriate, any appropriate committee thereof) shall adopt such resolutions or take such other necessary actions (including obtaining any required consents or delivering any required notices):</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the treatment described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terminate the Company Equity Plan (and awards thereunder) and the Company ESPP as of the Effective Time without liability to Parent, the Surviving Corporation or any of their Affiliates, other than the obligation to make the payments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provide to Parent or its Representatives, prior to Closing, copies of all documentation evidencing satisfactory completion of the actions necessary and appropriate to effectuate the actions contemplated in this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Warrant that is outstanding as of immediately prior to the Effective Time will, upon the Effective Time, in accordance with Section 9(c) of such Company Warrant, become exercisable by the holder thereof solely for the same Merger Consideration as such holder would have been entitled to receive following the Effective Time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such holder had been, immediately prior to the Effective Time, the holder of the number of shares of Company Common Stock then issuable upon exercise in full of such Company Warrant without regard to any limitations on exercise contained therein. For the avoidance of doubt, any Company Warrant that is exercised prior to the Effective Time shall be an outstanding share of Company Common Stock and treated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of this Agreement and prior to the Effective Time, (a) the Company shall comply with all of its obligations under the Company Warrants and shall take all such actions as may be required to effect the treatment of the Company Warrants described in this Section 2.4, including delivering in a timely manner under the terms of each Pre-Funded Warrant the notices contemplated by Section 9(f) of each Company Warrant,</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Parent if any holder of any Company Warrant elects to exercise such Company Warrant, and (c) the Company shall not amend, supplement or modify any of the terms of any Company Warrant without the prior written consent of Parent.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represents and warrants to Parent and Merger Sub that, except as (A) set forth in the Company Disclosure Schedule delivered by the Company to Parent and Merger Sub prior to the execution of this Agreement or (B) expressly disclosed in any Company SEC Documents filed with, or furnished to, the SEC and publicly available on or after July 13, 2023 and at least one (1) business day prior to the date of this Agreement, other than all risk factor disclosures, disclosures about market risk, or other cautionary, predictive or forward-looking disclosures contained therein that do not relate to specific historical events or circumstances affecting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disclosed in the Company SEC Documents shall be deemed to be a qualification of, or modification to, (i)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or (ii) representations and warranties the relevance of that disclosure as an exception to (or a disclosure for purposes of) is not reasonably apparent on the face of such disclosure):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Delaware Law and has all necessary power and authority to (i) conduct its business in the manner in which its business is currently being conducted and (ii) own, lease and operate its assets and properties in the manner in which its assets and properties are currently owned and used. The Company is duly qualified, registered, licensed or otherwise authorized to do business, and is in good standing, in each jurisdiction where the nature of its business requires such qualification, registration, licensing or other authorization and has all the authorizations required to own, lease and operate its properties and assets, except where the failure to be so qualified, registered, licensed or otherwise authorized to do business, or be in good standing would not, individually or in the aggregate, reasonably be expected to have a Material Adverse Effect or prevent, materially delay or materially impair the ability of the Company to consummate the Merger by the End Date.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capital stock of, any other equity interest of, or any equity interest of any nature in any other equity-linked or similar interest in, or any interest convertible into or exchangeable or exercisable for any equity, equity-linked or similar interest in any other Entity other than the Company Subsidiaries. The Company has not agreed and is not obligated to make, and is not bound by any Contract under which it may become obligated to make, any future investment in or capital contribution to any other Entity.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identifies each Subsidiary of the Company (each, a “</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and indicates its jurisdiction of organization. Each Company Subsidiary is a corporation or other business entity duly incorporated, formed or organized (as applicable), validly existing, and in good standing (to the extent a concept of “good standing” is applicable) under the Laws of its jurisdiction of incorporation, formation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Material Adverse Effect or prevent, materially delay or materially impair the ability of the Company to consummate the Merger by the End Date. All outstanding shares of capital stock or voting securities of, or other equity interests in, each Company Subsidiary have been duly authorized, validly issued and are fully paid and nonassessable and owned by the Company, by another Company Subsidiary, or by the Company and another Company Subsidiary, free and clear of all Encumbrances other than restrictions imposed by applicable Securities Laws or the organizational documents of any such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The Company has made available to Parent or its Representatives accurate and complete copies of the Organizational Documents of the Company and of each Company Subsidiary, including all amendments thereto, as in effect on the date of this Agreement. None of the Company or any Company Subsidiary is in violation of any provision of its Organizational Documents except for violations that would not, individually or in the aggregate, reasonably be expected to have a Material Adverse Effect or prevent, materially delay or materially impair the ability of the Company to consummate the Merger by the End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400,000,000 shares of Company Common Stock, of which (x) 61,697,073 shares of Company Voting Common Stock have been issued or are outstanding as of the close of business on June 15, 2026 (the “</w:t>
      </w:r>
      <w:r>
        <w:rPr>
          <w:rFonts w:ascii="Times New Roman" w:cs="Times New Roman" w:eastAsia="Times New Roman" w:hAnsi="Times New Roman"/>
          <w:sz w:val="18"/>
          <w:szCs w:val="18"/>
          <w:b w:val="1"/>
          <w:bCs w:val="1"/>
          <w:i w:val="1"/>
          <w:iCs w:val="1"/>
          <w:color w:val="auto"/>
        </w:rPr>
        <w:t>Reference Date</w:t>
      </w:r>
      <w:r>
        <w:rPr>
          <w:rFonts w:ascii="Times New Roman" w:cs="Times New Roman" w:eastAsia="Times New Roman" w:hAnsi="Times New Roman"/>
          <w:sz w:val="18"/>
          <w:szCs w:val="18"/>
          <w:color w:val="auto"/>
        </w:rPr>
        <w:t xml:space="preserve">”), (y) 13,486,642 shares of Company Non-Voting Common Stock have been issued or are outstanding as of the Reference Date and (z) 285,411 were shares of Company Restricted Stock outstanding as of the Reference Date, (ii) 10,000,000 shares of Company Preferred Stock, none of which are issued or outstanding as of the close of business on the Reference Date. All of the outstanding Shares have been duly authorized, validly issued and are fully paid and nonassessable. Since the Reference Date through the date hereof, the Company has not (A) issued any Company Common Stock or incurred any obligation to make any payments based on the price or value of any Company Common Stock, except for Company Common Stock issued upon the exercise of Company Options or Company Warrants or in settlement of Company Restricted Stock Units, in each case, as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or (B) established a record date for, declared, set aside for payment or paid any dividend on, or made any other distribution in respect of, any shares of Company Common Stock.</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no outstanding Share is entitled or subject to any preemptive right, right of repurchase or forfeiture, right of participation, right of maintenance, or any similar right; (ii) no outstanding Share is subject to any right of first refusal in favor of the Company; (iii) no outstanding bond, debenture, note, or other Indebtedness of the Company has a right to vote on any matter on which the Company stockholders have a right to vote; and (iv) no Company Contract relates to the voting or registration of, or restricts any Person from purchasing, selling, pledging, or otherwise disposing of (or from granting any option or similar right with respect to), any Share. The Company is not under any obligation, nor is it bound by any Contract pursuant to which it may become obligated, to repurchase, redeem, or otherwise acquire any outstanding Share. The Company Common Stock constitutes the only outstanding class of securities of the Company registered under the Securities Laws.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304"/>
        <w:spacing w:after="0" w:line="252" w:lineRule="auto"/>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Reference Date: (i) 6,720,910 Shares were issuable upon the exercise of outstanding Company Options; (ii) 349,868 Shares were subject to Company Restricted Stock Units; (iii) 2,157,626 Shares were reserved and available for issuance under the Company ESPP; and (iv) 365,853 Shares were issuable upon the exercise of outstanding Company Warrants. The Company has made available to Parent or its Representatives copies of the Company Equity Plan covering the Company Equity Awards outstanding and the forms of all award agreements evidencing such Company Equity Awards (and any material deviations therefrom), in each case, as of the date of this Agreement. Each Company Option was granted in accordance with the terms of the applicable Company Equity Plan and in compliance with all applicable Laws, and no Company Option will trigger any liability to the holder thereof under Section 409A of the Code. The Company represents and warrants that each Company Option that is intended to qualify as an “incentive stock option” within the meaning of Section 422 of the Code has been granted, administered and maintained in compliance in all material respects with the requirements of Sections 421 and 422 of the Code and the Treasury Regulations promulgated thereunder, including, without limitation, the applicable shareholder approval, exercise price, term, annual limitation and eligible recipient requirements. No such Company Option has been modified, extended or renewed, and no other action has been taken with respect to any such Company Option, in each case in a manner that would cause such Company Option to fail to qualify as an “incentive stock option” under Section 422 of the Code. All Company Warrants are made on the terms of the Form of Warrant Agreement as filed as an exhibit to the Company’s Current Report on Form 8-K filed on October 10, 2025. Except as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no Shares are subject to any offering period under the Company ESPP. To the knowledge of the Company, each holder of Company Restricted Stock has timely filed a valid election under Section 83(b) of the Code with respect to such holder’s Company Restricted Stock.</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of the Company Disclosure Schedule sets forth a correct and complete list of all Company Equity Awards and Company Warrants outstanding as of the Reference Date, including with respect to each such Company Equity Award and Company Warrant: (i) the name of the holder thereof; (ii) the number of Shares subject (or allocated) to such Company Equity Award; (iii) the grant or issuance date; (iv) any applicable vesting schedule, including any acceleration provisions applicable thereto; (v) with respect to each Company Option and Company Warrant, the exercise price; (vi) with respect to each Company Option, the expiration date; and (vii) with respect to each Company Option, whether it is intended to qualify as an “incentive stock option” within the meaning of Section 422 of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as of the close of business on the Reference Date, there is no: (i) outstanding share of capital stock or other equity interest in the Company or any of its Subsidiaries; (ii) outstanding subscription, option, call, warrant, right (whether or not currently exercisable) agreement or commitment of any character to acquire any share of capital stock, restricted stock unit, stock-based performance unit, or any other right that is linked to, or the value of which is in any way based on or derived from the value of any share of capital stock or other securities of the Company or any of its Subsidiaries, in each case, issued by the Company or any of its Subsidiaries or to which the Company or any of its Subsidiaries is bound; (iii) outstanding security, instrument, bond, debenture, note, or obligation that is or may become convertible into or exchangeable for any share of the capital stock or other securities of the Company or any of its Subsidiaries; or (iv) stockholder rights plan (or similar plan commonly referred to as a “poison pill”) or Contract under which the Company or any of its Subsidiaries is or may become obligated to sell or otherwise issue any share of its capital stock or any other security.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The Company has the necessary corporate power and authority to enter into and to perform its obligations under this Agreement and to consummate the Transactions, subject, in the case of the consummation of the Merger, only to the adoption of this Agreement by the Required Company Stockholder Approvals. The Company Board (at a meeting duly called and held) on or prior to the date of this Agreement has unanimously: (a) determined that the Transactions, including the Merger are advisable and fair to, and in the best interests of, the Company and its stockholders; (b) authorized and approved the execution, delivery, and performance of this Agreement and the Voting Agreement by the Company and unanimously approved the Merger; and (c) recommended the adoption of this Agreement by the holders of Company Common Stock and (d) directed that such matter be submitted to the Company’s stockholders for their adoption. This Agreement has been duly executed and delivered by the Company and, assuming due execution and delivery by Parent and Merger Sub, constitutes the valid and binding agreements of the Company, enforceable against the Company in accordance with its terms, subject to the Enforceability Exceptions. No other corporate action on the part of the Company or any Company Subsidiaries is required to authorize the execution, delivery and performance of this Agreement and the consummation of the Transactions.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by the Company of the Transactions will not, (i) conflict with or violate the Company’s Organizational Documents, (ii) assuming that all consents, approvals, and other authorizations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made or taken and the Required Company Stockholder Approvals have been obtained, conflict with or violate any Law applicable to the Company or by which any property or asset of the Company is bound, or (iii) result in any breach or violation of or constitute a default (or an event which, with notice or lapse of time or both, would become a default) by the Company or any Company Subsidiary under, or give to others any right of termination, amendment, acceleration, or cancellation of, or result in the loss of any benefit under, or the creation of any Encumbrance on the properties or assets of the Company pursuant to, any Material Contract, except, with respect to each of the foregoing clauses (ii) and (iii), for any such conflict, violation, breach, default, or other occurrence that would not, individually or in the aggregate, have a Material Adverse Effect or prevent, materially delay or materially impair the ability of the Company to consummate the Merger by the End Date and as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by the Company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and</w:t>
      </w:r>
    </w:p>
    <w:p>
      <w:pPr>
        <w:spacing w:after="0" w:line="5" w:lineRule="exact"/>
        <w:rPr>
          <w:rFonts w:ascii="Times New Roman" w:cs="Times New Roman" w:eastAsia="Times New Roman" w:hAnsi="Times New Roman"/>
          <w:sz w:val="18"/>
          <w:szCs w:val="18"/>
          <w:color w:val="auto"/>
        </w:rPr>
      </w:pPr>
    </w:p>
    <w:p>
      <w:pPr>
        <w:ind w:right="20" w:firstLine="8"/>
        <w:spacing w:after="0" w:line="260" w:lineRule="auto"/>
        <w:tabs>
          <w:tab w:leader="none" w:pos="3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consent, approval, order, authorization, authority, transfer, waiver, disclaimer, registration, declaration, or filing, which, in each case, if not obtained or made would not, individually or in the aggregate, have a Material Adverse Effect.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firstLine="1304"/>
        <w:spacing w:after="0" w:line="282" w:lineRule="auto"/>
        <w:tabs>
          <w:tab w:leader="none" w:pos="15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since January 1, 2023, it has not waived any confidentiality, standstill, non-disclosure, non-solicitation or similar agreement, restriction or covenant to which the Company or any Subsidiary is a party.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written consent of the holders of (a) a majority of the shares of Company Voting Common Stock outstanding on the record date (the “</w:t>
      </w:r>
      <w:r>
        <w:rPr>
          <w:rFonts w:ascii="Times New Roman" w:cs="Times New Roman" w:eastAsia="Times New Roman" w:hAnsi="Times New Roman"/>
          <w:sz w:val="18"/>
          <w:szCs w:val="18"/>
          <w:b w:val="1"/>
          <w:bCs w:val="1"/>
          <w:i w:val="1"/>
          <w:iCs w:val="1"/>
          <w:color w:val="auto"/>
        </w:rPr>
        <w:t>Required Company Voting Stockholder Approval</w:t>
      </w:r>
      <w:r>
        <w:rPr>
          <w:rFonts w:ascii="Times New Roman" w:cs="Times New Roman" w:eastAsia="Times New Roman" w:hAnsi="Times New Roman"/>
          <w:sz w:val="18"/>
          <w:szCs w:val="18"/>
          <w:color w:val="auto"/>
        </w:rPr>
        <w:t>”) and (b) for so long as at least 6,061,821 shares of Company Non-Voting Common Stock remain issued and outstanding, a majority of the outstanding shares of Company Non-Voting Common Stock (the “</w:t>
      </w:r>
      <w:r>
        <w:rPr>
          <w:rFonts w:ascii="Times New Roman" w:cs="Times New Roman" w:eastAsia="Times New Roman" w:hAnsi="Times New Roman"/>
          <w:sz w:val="18"/>
          <w:szCs w:val="18"/>
          <w:b w:val="1"/>
          <w:bCs w:val="1"/>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Non-Voting Stockholder Approval</w:t>
      </w:r>
      <w:r>
        <w:rPr>
          <w:rFonts w:ascii="Times New Roman" w:cs="Times New Roman" w:eastAsia="Times New Roman" w:hAnsi="Times New Roman"/>
          <w:sz w:val="18"/>
          <w:szCs w:val="18"/>
          <w:color w:val="auto"/>
        </w:rPr>
        <w:t>” and together with the Required Company Voting Stockholder Approval, the “</w:t>
      </w:r>
      <w:r>
        <w:rPr>
          <w:rFonts w:ascii="Times New Roman" w:cs="Times New Roman" w:eastAsia="Times New Roman" w:hAnsi="Times New Roman"/>
          <w:sz w:val="18"/>
          <w:szCs w:val="18"/>
          <w:b w:val="1"/>
          <w:bCs w:val="1"/>
          <w:i w:val="1"/>
          <w:iCs w:val="1"/>
          <w:color w:val="auto"/>
        </w:rPr>
        <w:t>Required Company Stockholder Approvals</w:t>
      </w:r>
      <w:r>
        <w:rPr>
          <w:rFonts w:ascii="Times New Roman" w:cs="Times New Roman" w:eastAsia="Times New Roman" w:hAnsi="Times New Roman"/>
          <w:sz w:val="18"/>
          <w:szCs w:val="18"/>
          <w:color w:val="auto"/>
        </w:rPr>
        <w:t>”), are the only votes or approvals of the holders of any class or series of the Company’s capital stock, or any holder of any other security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necessary to adopt this Agreement and approve the Merger. The execution and delivery of a written consent by the Supporting Stockholders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Written Consent</w:t>
      </w:r>
      <w:r>
        <w:rPr>
          <w:rFonts w:ascii="Times New Roman" w:cs="Times New Roman" w:eastAsia="Times New Roman" w:hAnsi="Times New Roman"/>
          <w:sz w:val="18"/>
          <w:szCs w:val="18"/>
          <w:color w:val="auto"/>
        </w:rPr>
        <w:t>”) adopting this Agreement and approving the transactions contemplated hereby, including the Merger, in accordance with the Organizational Documents of the Company and the DGCL, will satisfy the Required Non-Voting Stockholder Approval.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Company Board has taken all actions so that the restrictions applicable to business combinations in Section 203 of the DGCL shall be inapplicable to the execution, delivery, and performance of this Agreement and to the consummation of the Merger and the other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13, 2023, the Company has filed or furnished on a timely basis all reports, schedules, forms, statements, and other documents (including exhibits and all other information incorporated therein) required to be filed or furnished by the Company with or to the SEC (the “</w:t>
      </w:r>
      <w:r>
        <w:rPr>
          <w:rFonts w:ascii="Times New Roman" w:cs="Times New Roman" w:eastAsia="Times New Roman" w:hAnsi="Times New Roman"/>
          <w:sz w:val="18"/>
          <w:szCs w:val="18"/>
          <w:b w:val="1"/>
          <w:bCs w:val="1"/>
          <w:i w:val="1"/>
          <w:iCs w:val="1"/>
          <w:color w:val="auto"/>
        </w:rPr>
        <w:t>Company SEC Documents</w:t>
      </w:r>
      <w:r>
        <w:rPr>
          <w:rFonts w:ascii="Times New Roman" w:cs="Times New Roman" w:eastAsia="Times New Roman" w:hAnsi="Times New Roman"/>
          <w:sz w:val="18"/>
          <w:szCs w:val="18"/>
          <w:color w:val="auto"/>
        </w:rPr>
        <w:t>”). As of their respective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in all material respects with the requirements of the Securities Act, the Exchange Act, or the Sarbanes-Oxley Act, as the case may be, and the rules and regulations of the SEC promulgated thereunder and applicable to such Company SEC Documents or the Company and, except to the extent that information in such Company SEC Document has been revised, amended, modified, or superseded (prior to the date of this Agreement) by a later filed Company SEC Document,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Company Subsidiary is required to file or furnish any report, statement, schedule, form, registration statement, proxy statement, certification, or other document with, or make any other filing with, or furnish any other material to, the SEC.</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related notes and schedules) contained or incorporated by reference in the Company</w:t>
      </w:r>
    </w:p>
    <w:p>
      <w:pPr>
        <w:spacing w:after="0" w:line="27" w:lineRule="exact"/>
        <w:rPr>
          <w:rFonts w:ascii="Times New Roman" w:cs="Times New Roman" w:eastAsia="Times New Roman" w:hAnsi="Times New Roman"/>
          <w:sz w:val="18"/>
          <w:szCs w:val="18"/>
          <w:color w:val="auto"/>
        </w:rPr>
      </w:pPr>
    </w:p>
    <w:p>
      <w:pPr>
        <w:jc w:val="both"/>
        <w:spacing w:after="0" w:line="21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Documents: (i) complied as to form in all material respects with the published rules and regulations of the SEC applicable thereto; (ii) were prepared in accordance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covered (except as may be indicated in the notes to such financial statements or as permitted by Regulation S-X, or, in the case of unaudited financial statements, as permitted by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or any successor form under the Exchange Act); and (iii) fairly present, in all material respects, the assets, liabilities (whether accrued, absolute, contingent or otherwise), consolidated financial position, results of operations or financial performance and cash flows of the Company and its Subsidiaries and as of the respective dates thereof and for the periods covered thereby (subject, in the case of the unaudited financial statements, to normal and recurring year-end adjustments that are not, individually or in the aggregate, material). The Company does not intend to correct or restate, nor, to the knowledge of the Company, is there any basis for any correction or restatement of, any aspect of any of the financial statements referred to in this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01" w:lineRule="exact"/>
        <w:rPr>
          <w:rFonts w:ascii="Times New Roman" w:cs="Times New Roman" w:eastAsia="Times New Roman" w:hAnsi="Times New Roman"/>
          <w:sz w:val="18"/>
          <w:szCs w:val="18"/>
          <w:color w:val="auto"/>
        </w:rPr>
      </w:pPr>
    </w:p>
    <w:p>
      <w:pPr>
        <w:jc w:val="both"/>
        <w:ind w:firstLine="1304"/>
        <w:spacing w:after="0" w:line="218" w:lineRule="exact"/>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at all times since July 13, 2023, has maintained, a system of accounting and internal controls over financial reporting (within the meaning of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promulgated under the Exchange Act)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that could have a material effect on the Company’s consolidated financial statements. To the knowledge of the Company, since July 13, 2023, neither the Company nor the Company’s independent registered accounting firm has identified or been made aware of any: (A) significant deficiency or material weakness in the design or operation of internal control over financial reporting utilized by the Company; (B) illegal act or fraud, whether or not material, that involves the management or other employees of the Company who have a significant role in the Company’s internal controls over financial reporting; or (C) claim or allegation regarding any of the foregoing.</w:t>
      </w:r>
    </w:p>
    <w:p>
      <w:pPr>
        <w:spacing w:after="0" w:line="159" w:lineRule="exact"/>
        <w:rPr>
          <w:rFonts w:ascii="Times New Roman" w:cs="Times New Roman" w:eastAsia="Times New Roman" w:hAnsi="Times New Roman"/>
          <w:sz w:val="18"/>
          <w:szCs w:val="18"/>
          <w:color w:val="auto"/>
        </w:rPr>
      </w:pPr>
    </w:p>
    <w:p>
      <w:pPr>
        <w:jc w:val="both"/>
        <w:ind w:firstLine="1304"/>
        <w:spacing w:after="0" w:line="226" w:lineRule="exact"/>
        <w:tabs>
          <w:tab w:leader="none" w:pos="15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or 15d-15 promulgated under the Exchange Act that are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Exchange Act with respect to such reports.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1304"/>
        <w:spacing w:after="0" w:line="255" w:lineRule="auto"/>
        <w:tabs>
          <w:tab w:leader="none" w:pos="15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has any obligation or other commitment to become a party to any securitization transaction, off-balance sheet partnership, or any similar Contract (including any Contract arising out of or relating to any transaction or relationship between or among the Company and any Company Subsidiary,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the Company or any Company Subsidiary in the Company’s published financial statements or other Company SEC Documents.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outstanding or unresolved comment in any comment letter received from the SEC with respect to the Company SEC Documents. To the knowledge of the Company, as of the date of this Agreement, none of the Company SEC Documents is the subject of ongoing SEC review and there is no inquiry or investigation by the SEC, or any internal investigation pending or threatened, in each case, regarding any accounting practice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through the date of this Agreement, there has not occurred any Material Adverse Effect.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since December 31, 2025 through the date of this Agreement, the Company and the Company Subsidiaries have operated their respective businesses in all material respects in the ordinary course of business (except for discussions, negotiations, and transactions related to this Agreement or other potential strategic transactions).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2025, the Company has not taken any action that, if taken after the date of this Agreement without Parent’s consent, would constitute a breach of the covenants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(excluding activities conducted in the Company’s ordinary course of business under clauses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Excluding any Company Owned IP (which is covered by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the Company and each Company Subsidiary has, in all material respects, good and valid title to all material assets owned by it as of the date of this Agreement, including all material assets reflected on the Company’s consolidated balance sheet as of December 31, 2025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 “</w:t>
      </w:r>
      <w:r>
        <w:rPr>
          <w:rFonts w:ascii="Times New Roman" w:cs="Times New Roman" w:eastAsia="Times New Roman" w:hAnsi="Times New Roman"/>
          <w:sz w:val="18"/>
          <w:szCs w:val="18"/>
          <w:b w:val="1"/>
          <w:bCs w:val="1"/>
          <w:i w:val="1"/>
          <w:iCs w:val="1"/>
          <w:color w:val="auto"/>
        </w:rPr>
        <w:t>Balance Sheet</w:t>
      </w:r>
      <w:r>
        <w:rPr>
          <w:rFonts w:ascii="Times New Roman" w:cs="Times New Roman" w:eastAsia="Times New Roman" w:hAnsi="Times New Roman"/>
          <w:sz w:val="18"/>
          <w:szCs w:val="18"/>
          <w:color w:val="auto"/>
        </w:rPr>
        <w:t>”), except for assets sold or otherwise disposed of in the ordinary course of business since January 1, 2026.</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Neither the Company nor any of its Subsidiaries own any real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304"/>
        <w:spacing w:after="0" w:line="254" w:lineRule="auto"/>
        <w:tabs>
          <w:tab w:leader="none" w:pos="15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the Company Subsidiaries holds a good, valid and existing leasehold interest in all material real property that is licensed, leased, or subleased, used or otherwise occupied by the Company or such Subsidiary, as applicable, from another Person (the “</w:t>
      </w:r>
      <w:r>
        <w:rPr>
          <w:rFonts w:ascii="Times New Roman" w:cs="Times New Roman" w:eastAsia="Times New Roman" w:hAnsi="Times New Roman"/>
          <w:sz w:val="18"/>
          <w:szCs w:val="18"/>
          <w:b w:val="1"/>
          <w:bCs w:val="1"/>
          <w:i w:val="1"/>
          <w:iCs w:val="1"/>
          <w:color w:val="auto"/>
        </w:rPr>
        <w:t>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color w:val="auto"/>
        </w:rPr>
        <w:t>”), free and clear of all Encumbrances other than Permitted Encumbrances. The Company or one of the Company Subsidiaries are the sole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good and valid leasehold interests in and to all of the Leased Real Property.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of the Company Disclosure Schedule sets forth a true and complete list of all Company Leases and identifies the street address of the applicable Leased Real Property subject thereto. As of the date of this Agreement, neither the Company nor any Company Subsidiary has received any written notice of, nor does there exist, any event or circumstance that, with notice or lapse of time, or both, would constitute a violation or breach or default under any Company Lease by the Company or one of the Company Subsidiaries or, to the knowledge of the Company or any Company Subsidiary, any other party to any Company Lease. All rents, additional rents and other amounts due to date pursuant to each Company Lease have been paid in all material respects.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Leased Real Property collectively constitutes all of the material real property necessary to operate the business of the Company as currently conducted in all respects material to the business of the Company and its Subsidiaries, taken as a whole. All buildings, structures, fixtures, material items of equipment or other material tangible assets owned or leased to the Company or any of its Subsidiaries (including the Leased Real Property) are adequate for the conduct of the business of the Company and its Subsidiaries in the manner in which such businesses are currently being operated and are in good operating condition and repair (other than ordinary wear and tear) and do not require any material renovations to continue to operate the businesses of the Company and its Subsidiaries in the ordinary course of business, in each case, except as would not reasonably be expected to have a Material Adverse Effect. No casualty event has occurred with respect to any Leased Real Property that has not been remedied in all material respects. No material rezoning, condemnation or eminent domain or similar event or proceeding is pending or threatened in writing, or to the knowledge of the Company, orally, with respect to any Leased Real Property.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Company or one of the Company Subsidiaries leases, subleases, licenses or otherwise has the right to use or occupy the Leased Real Property or any portion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Intellectual Property; 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sets forth a complete and accurate list of all Company Owned Registered IP and Company Licensed Registered IP as of the date of this Agreement, including for each item of Company Owned Registered IP and Company Licensed Registered IP: (i) the registrant(s)/applicant(s)/assignee(s) of record; (ii) the jurisdiction of application, publication or registration; (iii) the application, publication or registration number; (iv) the date of filing, publication or registration; and (v) whether such item is solely or jointly owned by, or exclusively licensed to, Company or any Company Subsidiary. For each such item of Company Owned Registered IP that is owned, but not owned exclusively by the Company or any Company Subsidiary, and for any item of Company Licensed Registered IP,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also identifies the third-party co-owner(s) or third-party licensors (as applicable) thereof. The Company Owned Registered IP and Company Licensed Registered IP is subsisting, and to the knowledge of the Company, if issued, valid and enforceable.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left="-20" w:firstLine="1304"/>
        <w:spacing w:after="0" w:line="25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issuance, renewal, maintenance and other payments required to be paid with the applicable Intellectual Property Rights office or register as of the date hereof and as of Closing Date with respect to any material Patents or Patent applications included in the Company Owned IP have been timely paid in full. The Company and each Company Subsidiary has complied in all material respects with all applicable Laws, including any duties of candor to applicable Patent offices, in connection with the filing, prosecution and maintenance of the material Patents and, to the extent applicable, Patent applications included in the (i) Company Owned Registered IP and (ii) Company Licensed Registered IP, in the case of this clause (ii), to the extent the Company or a Company Subsidiary is responsible for prosecution and maintenance.</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Company Subsidiaries (i) are the sole and exclusive owners of all right, title and interest in all Company Owned IP free and clear of all Encumbrances other than Permitted Encumbrances and (ii) have licensed or otherwise have the right to use, pursuant to valid, written Contracts, all Company Licensed IP. All Company Owned IP and the rights the Company or a Company Subsidiary hold in the Company Licensed IP, collectively, constitute all of the Intellectual Property Rights that are used in the conduct of the business of the Company and the Company Subsidiaries as currently conducted, and as contemplated by the Company as of the Closing to be conducted, including with respect to the research, testing, development, labeling, manufacturing, handling, packaging, storing, supply, promotion, exportation, distribution, offer for sale, sale or commercialization of any Products. Except as identified on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Company Disclosure Schedule, (A) no Company Licensed IP is material to the Company and its Subsidiaries, including the manufacture, sale, offer for sale or other commercialization of any Products, (B) Paragon has not provided notice to the Company under any Paragon Agreement of any Multispecific Antibody (as defined therein) subject to the Company’s right of first negotiations, and the Company has neither entered into negotiations or declined to enter into negotiations with respect to any such Multispecific Antibody, and (C) no Product is the result of any research program, services or other work performed by or with an upstream licensor under the Paragon Agreements. All Designated Multispecific Antibodies (as defined in the Paragon TSLP License) are identified in item (D) of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Company Disclosure Schedule.</w:t>
      </w:r>
    </w:p>
    <w:p>
      <w:pPr>
        <w:spacing w:after="0" w:line="189"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operation of the Company and the Company Subsidiaries, including with respect to the research, testing, development, labeling, manufacturing, handling, packaging, storing, supply, promotion, exportation, distribution, offer for sale, sale or commercialization of the Products, has not infringed, misappropriated or otherwise violated as currently conducted, and does not and, as contemplated by the Company as of the Closing to be conducted, will not infringe, misappropriate or otherwise violate any Intellectual Property Rights of any third party, and (ii) to the knowledge of the Company, no Person has infringed, misappropriated or otherwise violated any material Company Owned IP or any Company Licensed IP that is exclusively licensed to Company or any Company Subsidiary. Since January 1, 2023, no Legal Proceeding is or has been pending (or, to the knowledge of the Company, is or has been threatened in writing) against the Company or any Company Subsidiary (x) alleging that the operation of the business of the Company or any Company Subsidiary, including with respect to the research, testing, development, labeling, manufacturing, handling, packaging, storing, supply, promotion, exportation, distribution, offer for sale, sale or commercialization of any of the Products, infringes, misappropriates or otherwise violates any Intellectual Property Right of any third party or (y) contesting or challenging the validity, enforceability or ownership of any Company Owned IP or Company Licensed IP exclusively licensed to the Company or any Company Subsidiary.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1" w:name="page32"/>
    <w:bookmarkEnd w:id="31"/>
    <w:p>
      <w:pPr>
        <w:jc w:val="both"/>
        <w:ind w:firstLine="1304"/>
        <w:spacing w:after="0" w:line="256" w:lineRule="auto"/>
        <w:tabs>
          <w:tab w:leader="none" w:pos="15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identified on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 xml:space="preserve"> of the Company Disclosure Schedule, (i) the Company and the Company Subsidiaries do not have any obligations pursuant to the Bayh-Dole Act, 35 U.S.C. §200-212, or other similar obligations under the Laws of any jurisdiction, including with respect to any Patents that are part of the Company Owned IP or Company Licensed Registered IP (and are in compliance with any such obligations to the extent applicable), and (ii), no Company Owned IP or, to the knowledge of the Company, Company Licensed IP exclusively licensed to the Company or any Company Subsidiary, was developed with funding from, or using the facilities, personnel or other resources of, any university, college, other educational institution, research center or Governmental Body.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Associate developed any Company Owned IP in the course of employment or other engagement with any university, college, other educational institution, research center or Governmental Body. No such institution, or any other third party, owns or has any claim to any ownership interest or other right, title or interest in or to any Company Owned IP or any Product (other than each applicable licensor solely with respect to its applicable Company Licensed IP).</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obtained from each Company Associate that has been involved in the creation or development of any material Intellectual Property Rights for or on behalf of the Company or a Company Subsidiary a written valid and enforceable agreement containing a present assignment of such Intellectual Property Rights to the Company or a Company Subsidiary. Additionally, the Company and the Company Subsidiaries have obtained from each Company Associate that has had access to any material confidential information of the Company and the Company Subsidiaries a written valid and enforceable agreement containing reasonable confidentiality provisions for the benefit of the Company and the Company Subsidiaries. The Company and the Company Subsidiaries have taken commercially reasonable measures to protect and maintain the confidentiality of the material Trade Secrets included in the Company Owned IP and Company Licensed IP. The Trade Secrets included in the Company Owned IP and Company Licensed IP have not been disclosed to any third party except pursuant to written non-disclosure agreements or professional confidentiality obligations in forms substantially similar to those that have previously been disclosed to Parent.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304"/>
        <w:spacing w:after="0" w:line="254" w:lineRule="auto"/>
        <w:tabs>
          <w:tab w:leader="none" w:pos="15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have been, in compliance in all material respects with applicable law and contracts to which they are party relating to the use of machine learning, deep learning, and other artificial intelligence technologies (“</w:t>
      </w:r>
      <w:r>
        <w:rPr>
          <w:rFonts w:ascii="Times New Roman" w:cs="Times New Roman" w:eastAsia="Times New Roman" w:hAnsi="Times New Roman"/>
          <w:sz w:val="18"/>
          <w:szCs w:val="18"/>
          <w:b w:val="1"/>
          <w:bCs w:val="1"/>
          <w:i w:val="1"/>
          <w:iCs w:val="1"/>
          <w:color w:val="auto"/>
        </w:rPr>
        <w:t>AI Technology</w:t>
      </w:r>
      <w:r>
        <w:rPr>
          <w:rFonts w:ascii="Times New Roman" w:cs="Times New Roman" w:eastAsia="Times New Roman" w:hAnsi="Times New Roman"/>
          <w:sz w:val="18"/>
          <w:szCs w:val="18"/>
          <w:color w:val="auto"/>
        </w:rPr>
        <w:t>”), and have not been subject to any written notification, claim, demand, audit or action investigating or alleging any violation thereof. The Company and the Company Subsidiaries (i) own or have otherwise secured valid rights and consents to all data or content used to train, tune, or customize, or otherwise input into, any AI Technology, and (ii) have not used any Trade Secrets to train, validate, test, improve, or deploy any AI Technology. No AI Technology has been used in the development, generation or reduction to practice of any Company Owned Intellectual Property or, to the Knowledge of the Company, any Company Licensed Intellectual Property in a manner that could qualify, limit, impair, or otherwise adversely impact the Company’s or any Company Subsidiary’s proprietary rights in or ability to use, register, enforce, or otherwise exploit such Intellectual Property.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there has not been any material incident of unauthorized access or other unauthorized intrusion into the Company IT Assets. The Company IT Assets operate and perform in all material respects as required by the Company and the Company Subsidiaries in connection with the conduct of their businesses, and the Company IT Assets are free from material bugs and other material defects and do not contain any material “virus”, “worm”, “spyware”, “ransomware” or other malicious software. The Company and the Company Subsidiaries have in place commercially reasonable security controls, an incident response plan, and disaster recovery procedures for Company IT Assets. The Company and the Company Subsidiaries have adopted administrative, technical and physical controls reasonably designed to protect, maintain, monitor and test the confidentiality, integrity, availability, redundancy, backup, continuous operation and security of Company IT Assets that are consistent with industry standard practices in all material respects with generally accepted industry practice standards in all material respects.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(a) the Company and the Company Subsidiaries have complied in all material respects with (i) all applicable requirements of Privacy Laws, (ii) the Company’s and the Company Subsidiaries’ published privacy policies, and (iii) the requirements of any Contract governing the Company’s or the Company Subsidiaries’ Processing of Personal Information to which the Company or the Company Subsidiaries are a party (collectively, (i)-(iii), the “</w:t>
      </w:r>
      <w:r>
        <w:rPr>
          <w:rFonts w:ascii="Times New Roman" w:cs="Times New Roman" w:eastAsia="Times New Roman" w:hAnsi="Times New Roman"/>
          <w:sz w:val="18"/>
          <w:szCs w:val="18"/>
          <w:b w:val="1"/>
          <w:bCs w:val="1"/>
          <w:i w:val="1"/>
          <w:iCs w:val="1"/>
          <w:color w:val="auto"/>
        </w:rPr>
        <w:t>Privacy Requirements</w:t>
      </w:r>
      <w:r>
        <w:rPr>
          <w:rFonts w:ascii="Times New Roman" w:cs="Times New Roman" w:eastAsia="Times New Roman" w:hAnsi="Times New Roman"/>
          <w:sz w:val="18"/>
          <w:szCs w:val="18"/>
          <w:color w:val="auto"/>
        </w:rPr>
        <w:t>”); (b) the Company and the Company Subsidiaries have adopted reasonable physical, technical, organizational, and administrative security measures and policies to (i) protect Personal Information in their custody or control, and (ii) materially comply with applicable Privacy Laws to which the Company or the Company Subsidiaries are subject; (c) the Company and the Company Subsidiaries have not experienced a material Security Incident or been required by Privacy Laws to notify any third party or Governmental Body of any Security Incident; and (d) the Company and the Company Subsidiaries have not received any written notice, order, warning, complaint, claim, allegation or investigation from any Person relating to their Processing of Personal Information or to any alleged non-compliance with applicable Privacy Requirements. To the knowledge of the Company, there are no facts or circumstances that would reasonably be expected to give rise to any such material Security Incident or complaint, claim or investigation. On each website and online service operated by the Company or the Company Subsidiaries, the Company or the Company Subsidiaries have, since January 1, 2023, posted a privacy policy conforming in all material respects with applicable Privacy Laws and that accurately discloses how the Company or the Company Subsidiaries Process Personal Information.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applicable Privacy Laws, the Company and the Company Subsidiaries own or have a valid and sufficient license or other right, permission, or consent to Process all Personal Information used in the conduct of their business as currently conducted. The execution, delivery, or performance of this Agreement by the Company and the Company Subsidiaries and the consummation of the Transactions will not violate applicable Privacy Laws in any material respect.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1304"/>
        <w:spacing w:after="0" w:line="261" w:lineRule="auto"/>
        <w:tabs>
          <w:tab w:leader="none" w:pos="15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Company Subsidiaries have undertaken commercially reasonable due diligence in respect of any Processors and, where required by applicable Privacy Laws, have taken steps to contractually obligate Processors to (i) comply with applicable Privacy Laws and (ii) take commercially reasonable steps designed to protect and secure Personal Information from loss, theft, unauthorized access, use, modification, disclosure or other misuse.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all privacy and security policies, procedures and safeguards adopted to comply with then-applicable requirements of all Healthcare Laws and Privacy Laws. The Company and the Company Subsidiaries have not and have not been required under applicable Privacy Laws or Healthcare Laws to enter into any Business Associate Agreement, as that term is defined under HIPAA.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 identifies each of the following Company Contracts to which the Company is a party as of the date of this Agreement other than any Company Contract that is or constitutes an Employee Plan, which shall be governed by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(the Company Contracts required to be set forth on such schedule,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1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limits the freedom or right of the Company or any Company Subsidiary, or that would, immediately after the Effective Time, purport to limit the freedom or right of Parent or its Affiliates, to research, develop, sell, distribute, or manufacture any Product or service either (A) by limiting the freedom or right of the Company or a Company Subsidiary (or Parent or its Affiliates, as applicable), from engaging in any line of business or to compete with any other Person in any location or line of business, (B) providing “most favored nation” rights (including with respect to pricing) or exclusivity obligations or (C) by granting to any Person any right of first refusal, right of first negotiation, exclusive license, option to purchase, option to exclusively license, or any other similar rights with respect to any product or service of the Company or any Company Owned IP, in each case, in favor of a party other than the Company or a Company Subsidiary;</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requires by its terms or is reasonably likely to require, during the remaining term of such Company Contract, payment of cash or other consideration by or to the Company in an amount in excess of $2,500,000 in the fiscal year ending December 31, 2026, or in any single fiscal year thereafter and which is not terminable without penalty or further payment by the Company or any Company Subsidiary on less than 90 days’ notice;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left="-460" w:firstLine="1292"/>
        <w:spacing w:after="0" w:line="253" w:lineRule="auto"/>
        <w:tabs>
          <w:tab w:leader="none" w:pos="11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Contract under which the Company or any Company Subsidiary (or after the Effective Time, Parent or its Affiliates) (A) licenses, grants a covenant not to sue with respect to or otherwise grants a right to use any Company Owned IP (or after the Effective Time, any Intellectual Property Rights owned by Parent or any of its Affiliates) to any third party or (B) licenses, obtains a covenant not to sue with respect to or otherwise receives a right to use any Intellectual Property Rights from any third party (in each case, other than (x) non-exclusive licenses for commercially available, off-the-shelf software) and (y) any materials transfer agreement, manufacturing services agreement, supply agreement, clinical contract services agreement, clinical site agreement, master services agreement, clinical trial agreement, contract research agreement, sponsored research agreement, or contract sales force agreement, in each case, to the extent such Company Contract would qualify for inclusion under this </w:t>
      </w:r>
      <w:r>
        <w:rPr>
          <w:rFonts w:ascii="Times New Roman" w:cs="Times New Roman" w:eastAsia="Times New Roman" w:hAnsi="Times New Roman"/>
          <w:sz w:val="18"/>
          <w:szCs w:val="18"/>
          <w:u w:val="single" w:color="auto"/>
          <w:color w:val="auto"/>
        </w:rPr>
        <w:t>Section 3.13(a)(iii)</w:t>
      </w:r>
      <w:r>
        <w:rPr>
          <w:rFonts w:ascii="Times New Roman" w:cs="Times New Roman" w:eastAsia="Times New Roman" w:hAnsi="Times New Roman"/>
          <w:sz w:val="18"/>
          <w:szCs w:val="18"/>
          <w:color w:val="auto"/>
        </w:rPr>
        <w:t xml:space="preserve"> solely on the basis of a license grant to Intellectual Property Rights that it incidental to the receipt or provision of services thereunder (which services are not primarily related to the conception, development or reduction to practice of Intellectual Property Rights);</w:t>
      </w:r>
    </w:p>
    <w:p>
      <w:pPr>
        <w:spacing w:after="0" w:line="194" w:lineRule="exact"/>
        <w:rPr>
          <w:rFonts w:ascii="Times New Roman" w:cs="Times New Roman" w:eastAsia="Times New Roman" w:hAnsi="Times New Roman"/>
          <w:sz w:val="18"/>
          <w:szCs w:val="18"/>
          <w:color w:val="auto"/>
        </w:rPr>
      </w:pPr>
    </w:p>
    <w:p>
      <w:pPr>
        <w:ind w:left="-460" w:firstLine="1292"/>
        <w:spacing w:after="0" w:line="282" w:lineRule="auto"/>
        <w:tabs>
          <w:tab w:leader="none" w:pos="11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relating to Indebtedness in excess of $1,000,000 (whether incurred, assumed, guaranteed, or secured by any asset) of the Company or any Company Subsidiary;</w:t>
      </w:r>
    </w:p>
    <w:p>
      <w:pPr>
        <w:spacing w:after="0" w:line="161"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constituting a joint venture, partnership, or limited liability company;</w:t>
      </w:r>
    </w:p>
    <w:p>
      <w:pPr>
        <w:spacing w:after="0" w:line="225" w:lineRule="exact"/>
        <w:rPr>
          <w:rFonts w:ascii="Times New Roman" w:cs="Times New Roman" w:eastAsia="Times New Roman" w:hAnsi="Times New Roman"/>
          <w:sz w:val="18"/>
          <w:szCs w:val="18"/>
          <w:color w:val="auto"/>
        </w:rPr>
      </w:pPr>
    </w:p>
    <w:p>
      <w:pPr>
        <w:ind w:left="-460" w:firstLine="1292"/>
        <w:spacing w:after="0" w:line="282" w:lineRule="auto"/>
        <w:tabs>
          <w:tab w:leader="none" w:pos="11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requiring the Company to perform or conduct research services, clinical trial services or development services for the benefit of any Person other than the Company or any Company Subsidiary;</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2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prohibits the payment of dividends or distributions in respect of the capital stock of the Company, the pledging of the capital stock or other equity interests of the Company, or prohibits the issuance of any guaranty by the Company;</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2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is currently in effect and has been filed (or is required to be filed) by the Company as an exhibit pursuant to Item 601(b)(10) of Regulation S-K under the Exchange Act or that would be required to be disclosed under Item 404 of Regulation S-K under the Exchange Act;</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with any Affiliate, director, executive officer (as such term is defined in the Exchange Act), holder of 5% or more of the Shares or, to the knowledge of the Company, any of their Affiliates (other than the Company) or immediate family members (other than (A) offer letters that can be terminated at will without severance obligations and (B) Company Contracts pursuant to Company Equity Awards);</w:t>
      </w:r>
    </w:p>
    <w:p>
      <w:pPr>
        <w:spacing w:after="0" w:line="179"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for the license, lease, or sublease of any material Leased Real Property;</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5" w:name="page36"/>
    <w:bookmarkEnd w:id="35"/>
    <w:p>
      <w:pPr>
        <w:jc w:val="both"/>
        <w:ind w:left="-460" w:firstLine="1292"/>
        <w:spacing w:after="0" w:line="261" w:lineRule="auto"/>
        <w:tabs>
          <w:tab w:leader="none" w:pos="11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the acquisition or disposition since January 1, 2023 by the Company or any Company Subsidiary of any Person or other business organization, division, or business of any Person (whether by merger or consolidation, by the purchase of a controlling equity interest in or substantially all of the assets of such Person, or by any other manner), involving consideration in excess of $2,500,000;</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2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the acquisition or disposition of any material Company Owned IP (other than any inventor assignment, employee invention assignment or consultant agreement entered into in the ordinary course of business on the forms thereof disclosed to Parent, in each case, pursuant to which any Company Associate presently assigns any Intellectual Property Rights to the Company or any Company Subsidiary, as applicable);</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2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pursuant to which the Company or any Company Subsidiary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 (B) payment of royalties or other amounts calculated based upon any revenue or income of the Company, in each case, that could result in payments in excess of $2,500,000 over a 12-month period;</w:t>
      </w:r>
    </w:p>
    <w:p>
      <w:pPr>
        <w:spacing w:after="0" w:line="183" w:lineRule="exact"/>
        <w:rPr>
          <w:rFonts w:ascii="Times New Roman" w:cs="Times New Roman" w:eastAsia="Times New Roman" w:hAnsi="Times New Roman"/>
          <w:sz w:val="18"/>
          <w:szCs w:val="18"/>
          <w:color w:val="auto"/>
        </w:rPr>
      </w:pPr>
    </w:p>
    <w:p>
      <w:pPr>
        <w:ind w:left="-460" w:firstLine="1292"/>
        <w:spacing w:after="0" w:line="282" w:lineRule="auto"/>
        <w:tabs>
          <w:tab w:leader="none" w:pos="1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any shareholder rights, investor rights, registration rights or similar rights with respect to any securities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1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source” manufacturing contract for any Product pursuant to which goods or materials are manufactured for any Product from an exclusive source, and any contract for the manufacture of any Product with a minimum purchase obligation or “take-or-pay” obligation;</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2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rental contract involving personal property (and not relating primarily to real property) pursuant to which the company or any of its Subsidiaries is required to make rental payments in excess of $100,000, per year (excluding leases or rental contracts for office equipment entered into in the ordinary course of business);</w:t>
      </w:r>
    </w:p>
    <w:p>
      <w:pPr>
        <w:spacing w:after="0" w:line="175"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2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commitments relating to capital expenditures or the acquisition by purchase or lease of fixed assets in excess of $1,000,000;</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3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commercialization, manufacturing, co-promotion, discovery or development of Products and creates or purports to create a collaboration profit sharing or other similar agreements or arrangements or pursuant to which product rights are developed that benefit both the Company or any of its Subsidiaries, on the one hand, and a third party, on the other;</w:t>
      </w:r>
    </w:p>
    <w:p>
      <w:pPr>
        <w:spacing w:after="0" w:line="3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6" w:name="page37"/>
    <w:bookmarkEnd w:id="36"/>
    <w:p>
      <w:pPr>
        <w:jc w:val="both"/>
        <w:ind w:left="660" w:firstLine="1292"/>
        <w:spacing w:after="0" w:line="258" w:lineRule="auto"/>
        <w:tabs>
          <w:tab w:leader="none" w:pos="23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pursuant to which (A) any university or other academic institution, non-profit research center or international organization or Governmental Bodies (or any Person working for or on behalf of any of the foregoing entities) grants to Company or any Company Subsidiary any rights under Company Licensed IP, facilities, equipment or other tangible resources or (B) Company or any Company Subsidiary grants to any academic institution, non-profit research center or international organization or Governmental Body any right or option with respect to any Company Owned IP;</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3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the primary purpose of which is to provide for indemnification or guarantee of the obligations of any other Person, other than Company Contracts entered into in the ordinary course of business;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7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the settlement of any legal proceeding, whether actual or threatened in writing, involving the Company or any of its Subsidiaries with (A) ongoing nonmonetary obligations of the Company or (B) financial obligations of the Company in excess of $1,000,000;</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constitutes a Collective Bargaining Agreement;</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hedging, swap, derivative, or similar Company Contract; and</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with a Major Supplier.</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has made available to Parent or its Representatives an accurate and complete copy of each Material Contract in each case, including all amendments and supplements thereto (except with such redactions as may be clearly marked on such copies). (i) Neither the Company nor, to the knowledge of the Company, the other party is in material breach of or material default under any Material Contract and, neither the Company, nor, to the knowledge of the Company, the other party has taken or failed to take any action that with or without notice, lapse of time, or both would constitute a material breach of or material default under any Material Contract, (ii) each Material Contract is, with respect to the Company and, to the knowledge of the Company, the other party, a valid agreement, binding, and in full force and effect, (iii) to the knowledge of the Company, each Material Contract is enforceable by the Company in accordance with its terms, subject to the Enforceability Exceptions, and (iv) since January 1, 2023, through the date of this Agreement, the Company has not received any written notice regarding any violation or breach or default under any Material Contract that has not since been cured. To the Company’s knowledge, since January 1, 2023, no counterparty to any Material Contract has (x) canceled or otherwise terminated, or threatened in writing to cancel or otherwise terminate, its relationship with the Company or any Company Subsidiary or (y) decreased materially or threatened to decrease materially or limit materially, the amount of business that any such counterparty presently engages in or presently conducts with the Company and its Subsidiaries. As of the date of this Agreement, the Company has not waived in writing any rights under any Material Contract, the waiver of which would have, or would reasonably be expected to have, individually or in the aggregate, a Material Adverse Effect. Since January 1, 2023, through the date of this Agreement, the Company has not received any written notice alleging any material violation or breach or default under any Material Contract that has not since been cured.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the Company nor any Company Subsidiary has any liability of the type required to be disclosed as a liability on a consolidated balance sheet prepared in accordance with GAAP, except for: (i) liabilities disclosed on the Balance Sheet;</w:t>
      </w:r>
    </w:p>
    <w:p>
      <w:pPr>
        <w:jc w:val="both"/>
        <w:ind w:firstLine="8"/>
        <w:spacing w:after="0" w:line="255" w:lineRule="auto"/>
        <w:tabs>
          <w:tab w:leader="none" w:pos="2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obligations incurred pursuant to the terms of this Agreement; (iii) liabilities for performance of obligations of the Company or any Company Subsidiary under Contracts binding thereon (other than resulting from any breach or acceleration thereof) made available to Parent or its Representatives or entered into in the ordinary course of business; and (iv) liabilities incurred in the ordinary course of business since January 1, 2026.</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the Company Subsidiaries, each Person under their control and their respective Representatives and, to the knowledge of the Company, third parties acting on their behalf have each been, since January 1, 2023, in material compliance with all applicable Laws. To the knowledge of the Company, since January 1, 2023, neither the Company nor any Company Subsidiary has been given written notice of, or been charged with, any unresolved material violation of any Law. To the knowledge of the Company, no material investigation or review by any Governmental Body with respect to the Company, any Company Subsidiary, any Person under their control or any of their respective Representatives and third parties acting on their behalf is pending or, as of the date of this Agreement, threatened, nor has any Governmental Body indicated an intention to conduct the same.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each Company Subsidiary possesses all material approvals, authorizations, certificates, registrations, licenses, exemptions, permits, clearances, and consents (including all investigational new drug applications (as defined in 21 C.F.R. § 312.20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establishment registrations (as defined in 21 C.F.R. part 207), and product listings (as defined in 21 C.F.R. part 207), all supplements or amendments thereto, and all comparable approvals, authorizations, certificates, registrations, licenses, exemptions, permits, clearances, and consents provided for in other applicable Healthcare Laws) (“</w:t>
      </w:r>
      <w:r>
        <w:rPr>
          <w:rFonts w:ascii="Times New Roman" w:cs="Times New Roman" w:eastAsia="Times New Roman" w:hAnsi="Times New Roman"/>
          <w:sz w:val="18"/>
          <w:szCs w:val="18"/>
          <w:b w:val="1"/>
          <w:bCs w:val="1"/>
          <w:i w:val="1"/>
          <w:iCs w:val="1"/>
          <w:color w:val="auto"/>
        </w:rPr>
        <w:t>Regulatory Authorizations</w:t>
      </w:r>
      <w:r>
        <w:rPr>
          <w:rFonts w:ascii="Times New Roman" w:cs="Times New Roman" w:eastAsia="Times New Roman" w:hAnsi="Times New Roman"/>
          <w:sz w:val="18"/>
          <w:szCs w:val="18"/>
          <w:color w:val="auto"/>
        </w:rPr>
        <w:t>”) from the United States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and all other applicable Regulatory Authorities relating to any Product or that are necessary for the Company or any Company Subsidiary to conduct its business in all material respects as presently conducted. (i) All such Regulatory Authorizations are materially (A) in full force and effect, (B) validly registered and on file with applicable Regulatory Authorities and (C) in compliance with all formal filing and maintenance requirements and (ii) the Company and each Company Subsidiary has fulfilled and performed all of its material obligations with respect to such Regulatory Authorizations, and no event has occurred which allows, or after notice or lapse of time would allow, revocation or termination thereof. Except as would not reasonably be expected to be material to the business of the Company and the Company Subsidiaries, taken as a whole, (1) the Company and each Company Subsidiary has filed, maintained or furnished to the FDA or other applicable Governmental Bodies or other applicable Regulatory Authorities all required filings, declarations, listings, registrations, submissions, amendments, modifications, notices and responses to notices, applications and supplemental applications, reports (including all adverse event/experience reports) and (2) all such submissions were complete and accurate and in compliance in all material respects with applicable Laws when filed (or were corrected or completed in a subsequent filing).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1304"/>
        <w:spacing w:after="0" w:line="266" w:lineRule="auto"/>
        <w:tabs>
          <w:tab w:leader="none" w:pos="15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for the initiation and conduct of the non-clinical studies, clinical investigations, preclinical studies or tests sponsored or conducted by or on behalf of the Company or any Company Subsidiary, the Company and each Company Subsidiary has never marketed, sold, distributed, promoted or advertised any pharmaceutical products (including the Products), whether in or outside the United States.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since the Formation Date has been, in material compliance with applicable Laws, including all applicable Healthcare Laws, the FDCA and the PHSA and their implementing regulations, relating to the development, testing, manufacturing, holding, marketing, selling, distributing, labeling, promoting, advertising, importing or exporting of pharmaceutical products, in each case as applicable, including without limitation, (i) requirements for obtaining Regulatory Authorizations, (ii) requirements for establishment registration and product listing; (iii) payment of all application and program fees invoiced for the Products, (iv) label and labeling requirements and (v) applicable promotion and advertising requirements.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non-clinical studies and clinical investigations, preclinical studies or tests sponsored or conducted by or on behalf of the Company or any Company Subsidiary have been and are being conducted in material compliance with applicable Laws, including Good Laboratory Practices, Good Clinical Practices, the FDCA, the PHSA, all applicable Healthcare Laws, and all other Laws regarding developing, testing, labeling, manufacturing, storage, marketing, promotion, sale, commercialization, safety, quality, shipment, import, export, or distribution of the products of the Company. None of the FDA, any other Regulatory Authority, or any institutional review board or independent ethics committee has sent any written notices or other correspondence with respect to any proposed, ongoing or completed clinical investigations, preclinical or non-clinical studies or tests requiring the termination, suspension or material modification of such investigations, studies or tests. With respect to each Product, the Company has made available to Parent complete and accurate copies of all material clinical, preclinical and nonclinical data in the possession of and reasonably available to the Company or any Company Subsidiary and all material written correspondence that exists as of the date of this Agreement between the Company and any of its Subsidiaries and the FDA or any other Regulatory Authority.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1304"/>
        <w:spacing w:after="0" w:line="252" w:lineRule="auto"/>
        <w:tabs>
          <w:tab w:leader="none" w:pos="15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officers, employees, or agents of the Company or any Company Subsidiary, has (i) made an untrue statement of a material fact or fraudulent statement to the FDA or any other Regulatory Authority, (ii) failed to disclose a material fact required to be disclosed to the FDA, (iii) committed any other act, made any statement or failed to make any statement, that (in any such case) establishes a reasonable basis for the FDA to invoke its Fraud, Untrue Statements of Material Facts, Bribery, and Illegal Gratuities Final Policy, (iv) been charged with or convicted of any criminal offense relating to the delivery of an item or service under Medicare, Medicaid, TRICARE or any similar government health care program (collectively, “</w:t>
      </w:r>
      <w:r>
        <w:rPr>
          <w:rFonts w:ascii="Times New Roman" w:cs="Times New Roman" w:eastAsia="Times New Roman" w:hAnsi="Times New Roman"/>
          <w:sz w:val="18"/>
          <w:szCs w:val="18"/>
          <w:b w:val="1"/>
          <w:bCs w:val="1"/>
          <w:i w:val="1"/>
          <w:iCs w:val="1"/>
          <w:color w:val="auto"/>
        </w:rPr>
        <w:t>Federal Health Care Programs</w:t>
      </w:r>
      <w:r>
        <w:rPr>
          <w:rFonts w:ascii="Times New Roman" w:cs="Times New Roman" w:eastAsia="Times New Roman" w:hAnsi="Times New Roman"/>
          <w:sz w:val="18"/>
          <w:szCs w:val="18"/>
          <w:color w:val="auto"/>
        </w:rPr>
        <w:t>”) or any similar program by a foreign Governmental Body, (v) engaged in any conduct that is not compliant with applicable Healthcare Laws relating to the integrity of data generated or used related to the development, use, handling, safety, efficacy, reliability or manufacturing of the Products, or (vi) to the knowledge of the Company and each Company Subsidiary, is the target or subject of any current or potential investigation relating to any Federal Health Care Program-related offense. As of the date of this Agreement, neither the Company nor any Company Subsidiary is the subject of any pending or, to the Company’s knowledge, threatened investigation by the FDA pursuant to its Fraud, Untrue Statements of Material Facts, Bribery, and Illegal Gratuities Final Policy. Neither the Company nor any Company Subsidiary nor any officers, employees, agents, or clinical investigators of the Company or any Company Subsidiary has been suspended, debarred, or convicted of any crime or engaged in any conduct that would reasonably be expected to result in (A) debarment under 21 U.S.C. § 335a or any similar Law or (B) exclusion under the Exclusion Laws at 42 U.S.C. § 1320a-7 or any similar Law.</w:t>
      </w:r>
    </w:p>
    <w:p>
      <w:pPr>
        <w:spacing w:after="0" w:line="197"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2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business of the Company and the Company Subsidiaries, taken as a whole, (i) the Company, each Company Subsidiary and any contractor or other Person acting on their behalf is obtaining and since the Formation Date, has obtained (or caused to be obtained) informed consent by or on behalf of each human subject who participated in the Company’s ongoing clinical studies;</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using or disclosing patient information received by the Company in connection with the Company’s ongoing clinical studies, the Company, each Company Subsidiary and any contractor or other Person acting on their behalf have complied with all Healthcare Laws and regulatory rules or requirements, in each case to the extent applicable, including, without limitation, HIPAA, the FDCA and the rules and regulations thereunder.</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Laws, all manufacturing operations conducted with respect to any Product used in human clinical trials have been conducted in material accordance with the FDCA, Healthcare Laws, and Good Manufacturing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Product has been recalled, withdrawn, suspended or discontinued.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since the Formation Date has been, in compliance with all applicable Healthcare Laws and, to the Company’s knowledge, there is no civil, criminal, administrative, or other action, subpoena, suit, demand, claim, hearing, proceeding, notice or demand pending against, received by, or threatened against the Company or any Company Subsidiary regarding non-compliance with any Healthcare Laws.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2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corporate integrity agreement, monitoring agreement, consent decree, settlement order, or similar agreement with or imposed by any Governmental Body.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1304"/>
        <w:spacing w:after="0" w:line="254" w:lineRule="auto"/>
        <w:tabs>
          <w:tab w:leader="none" w:pos="15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adopted and maintain an operational compliance program that governs all employees and contractors and is intended to assist the Company and the Company Subsidiaries to be in compliance with all Laws, standards and guidelines relevant to its business, including all Healthcare Laws and any equivalent foreign Laws, and includes each of the following elements: (i) consistency with the current U.S. Federal Sentencing Guidelines standards for effective compliance programs and the seven elements set forth by the Office of the Inspector General of the Department of Health and Human Services and (ii) a code of conduct and other applicable policies and procedures that reflects the guidelines established by the Pharmaceutical Research and Manufacturers of America Code on Interactions with Healthcare Professionals. None of the Company and its Subsidiaries or, to the knowledge of the Company, any of its officers, directors, employees, contractors or agents has violated any such compliance program.</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3.16(l)</w:t>
      </w:r>
      <w:r>
        <w:rPr>
          <w:rFonts w:ascii="Times New Roman" w:cs="Times New Roman" w:eastAsia="Times New Roman" w:hAnsi="Times New Roman"/>
          <w:sz w:val="18"/>
          <w:szCs w:val="18"/>
          <w:color w:val="auto"/>
        </w:rPr>
        <w:t xml:space="preserve"> of the Company Disclosure Schedules sets forth a true and complete list of all physicians and other licensed health care providers (including physician assistants, nurse practitioners, clinical nurse specialists, certified registered nurse anesthetists, anesthesiologist assistants, and certified nurse midwives), and their immediate family members, who have an ownership, equity, or investment interest in the Company, including any members of any scientific or clinical advisory board of the Company or its Board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or, to the knowledge of the Company, any Representative of the Company (each, a “</w:t>
      </w:r>
      <w:r>
        <w:rPr>
          <w:rFonts w:ascii="Times New Roman" w:cs="Times New Roman" w:eastAsia="Times New Roman" w:hAnsi="Times New Roman"/>
          <w:sz w:val="18"/>
          <w:szCs w:val="18"/>
          <w:b w:val="1"/>
          <w:bCs w:val="1"/>
          <w:i w:val="1"/>
          <w:iCs w:val="1"/>
          <w:color w:val="auto"/>
        </w:rPr>
        <w:t>Company Representative</w:t>
      </w:r>
      <w:r>
        <w:rPr>
          <w:rFonts w:ascii="Times New Roman" w:cs="Times New Roman" w:eastAsia="Times New Roman" w:hAnsi="Times New Roman"/>
          <w:sz w:val="18"/>
          <w:szCs w:val="18"/>
          <w:color w:val="auto"/>
        </w:rPr>
        <w:t>”), or any other Person (in each case, acting for or on behalf of the Company or any Company Subsidiary) has violated any provision of any Anti-Corruption Law or any rule or regulation promulgated thereunder, applicable anti-money laundering Law and any rule or regulation promulgated thereunder, or any applicable Law of similar effect, or has, in material violation of Anti-Corruption Laws:</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paid, offered, given, or promised to make or offer any contribution, gift, entertainment, or other expense, (ii) made, offered, or promised to make or offer any payment, loan, or transfer of anything of value, including any reward, advantage, or benefit of any kind to or for the benefit of foreign or domestic Government Officials, (iii) paid, offered, given, or promised to make or offer any bribe, payoff, influence payment, kickback, rebate, or other similar payment of any nature, (iv) established or maintained any fund of corporate monies or other properties, (v) created or caused the creation of any false or inaccurate books and records of the Company or any Company Subsidiary related to any of the foregoing, or (vi) taken or caused to be taken any other action in connection with the business of the Company or any Company Subsidiary. The Company has established and maintains policies and procedures reasonably designed to comply with Anti-Corruption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0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nor, to the knowledge of the Company, any Representative of the Company, or any other Person (in each case, acting for or on behalf of the Company or any Company Subsidiary) has violated any International Trade Laws. Without limiting the foregoing, since the Formation Date, none of the Company, any Company Subsidiary, nor, to the knowledge of the Company, any Representative of the Company, or any other Person (in each case, acting for or on behalf of the Company or any Company Subsidiary) (i) has engaged in any business or dealings, directly or indirectly, involving or relating to (x) any country or territory that is or whose government is the target of comprehensive sanctions imposed by the United States, the United Kingdom, or the European Union (currently limited to, Cuba, Iran, North Korea, Syria, the Crimea region and the so-called Donetsk or Luhansk People’s Republics (each a “</w:t>
      </w:r>
      <w:r>
        <w:rPr>
          <w:rFonts w:ascii="Times New Roman" w:cs="Times New Roman" w:eastAsia="Times New Roman" w:hAnsi="Times New Roman"/>
          <w:sz w:val="18"/>
          <w:szCs w:val="18"/>
          <w:b w:val="1"/>
          <w:bCs w:val="1"/>
          <w:i w:val="1"/>
          <w:iCs w:val="1"/>
          <w:color w:val="auto"/>
        </w:rPr>
        <w:t>Sanctioned Jurisdiction</w:t>
      </w:r>
      <w:r>
        <w:rPr>
          <w:rFonts w:ascii="Times New Roman" w:cs="Times New Roman" w:eastAsia="Times New Roman" w:hAnsi="Times New Roman"/>
          <w:sz w:val="18"/>
          <w:szCs w:val="18"/>
          <w:color w:val="auto"/>
        </w:rPr>
        <w:t>”)) or (y) a Person that is designated on, or that is 50% or greater owned or controlled by a Person that is designated on, any list of sanctioned or export control restricted parties maintained by the United States, including, without limitation, the U.S. Department of the Treasury’s Office of Foreign Assets Control’s List of Specially Designated Nationals and Blocked Persons List and the U.S. Department of Commerce’s Bureau of Industry and Security’s Entity List (any such person a “</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or (ii) is a Sanctioned Person or is located or ordinarily resident in or organized under the laws of a Sanctioned Jurisdiction.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1304"/>
        <w:spacing w:after="0" w:line="261" w:lineRule="auto"/>
        <w:tabs>
          <w:tab w:leader="none" w:pos="15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nor, to the knowledge of the Company, any Representative of the Company or any other Person (in each case, acting for or on behalf of the Company or any Company Subsidiary) has been the subject of any investigations, inquiries, reviews, audits, sanctions, or penalties related to Anti-Corruption Laws, International Trade Laws, or applicable anti-money laundering Laws, and no such investigation, inquiry, review, audit, sanction, or penalty is pending or, to the knowledge of the Company, threatened.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The Company and the Company Subsidiaries hold all Governmental Authorizations necessary to enable the Company and the Company Subsidiaries to conduct their respective businesses in the manner in which their businesses are currently being conducted, except as would not, individually or in the aggregate, reasonably be expected to be material to the Company and its Subsidiaries, taken as a whole. The Governmental Authorizations held by the Company and the Company Subsidiaries are valid and in full force and effect, except as would not, individually or in the aggregate, reasonably be expected to be material to the Company and its Subsidiaries, taken as a whole. The Company and the Company Subsidiaries are each in compliance with the terms and requirements of such Governmental Authorizations, to the extent applicable to them, except as would not, individually or in the aggregate, reasonably be expected to have a Material Adverse Effect. There are no Legal Proceedings pending or threatened in writing, or to the knowledge of the Company, orally, that seek the revocation, cancellation or adverse modification of any Governmental Authorization, except as would not, individually or in the aggregate, reasonably be expected to be material to the Company and its Subsidiaries, taken as a whole. Since January 1, 2023, neither the Company nor any Company Subsidiary has received any written notice of any noncompliance or alleged noncompliance with any Governmental Authorization except as would not, individually or in the aggregate, reasonably be expected to be material to the Company and its Subsidiaries, taken as a whole.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income and other material Tax Returns required to be filed by the Company or any Company Subsidiary with any Governmental Body have been filed on or before the applicable due date (taking into account any extension of such due date), and all such Tax Returns are accurate and complete in all material respects, and (ii) all material Taxes of the Company or any Company Subsidiary due and payable (whether or not shown as due and owing on such Tax Returns) have been timely (taking into account any extension of the due date of such Tax Returns) paid by the Company or any Company Subsidiary, as applicable, except for Taxes reserved for on the Balance Sheet and Taxes incurred in the ordinary course of business since the date of the Balance Sheet.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1304"/>
        <w:spacing w:after="0" w:line="254"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material deficiency (other than a deficiency that is being contested in good faith by appropriate proceedings) for any material Tax has been asserted or assessed by any Governmental Body in writing against the Company or any Company Subsidiary, which deficiency has not been paid, settled, or withdrawn, (ii) there is no material Encumbrance for Taxes (other than Permitted Encumbrances) upon any asset of the Company or any Company Subsidiary, (iii) no written claim has been made by any Governmental Body in a jurisdiction in which the Company or any Company Subsidiary, as applicable, does not file Tax Returns that it is or may be subject to Tax by, or required to file Tax Returns in, that jurisdiction, (iv) there are no examinations or audits by any Governmental Body of any material Tax Return of the Company or any Company Subsidiary underway or that has been proposed or threatened in writing, and (v) there are no extensions or waivers of the limitations period applicable to any material Tax Return of the Company or any Company Subsidiary in effect (other than in connection with an extension to file a Tax Return of no longer than seven (7) months that is made in the ordinary course of business).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complied in all respects with all applicable Laws relating to the collection, payment and withholding of taxes and has, within the time and the manner prescribed by Law, collected, deducted or withheld from and paid over to the proper taxing authorities all amounts required to be so collected, deducted or withheld and paid over in accordance with such applicable Laws in connection with amounts paid or owing to any stockholder, employee, creditor, independent contractor or other third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or currently has any material liability pursuant to, any material Tax sharing, allocation, or indemnification agreement or arrangement that would have a continuing effect after the Closing Date (other than such agreements or arrangements entered into in the ordinary course of business, the primary subject matter of which is not Tax). Neither the Company nor any Company Subsidiary (i) has been a member of a group filing Tax Returns on an affiliated, combined, unitary or consolidated basis (other than a group the common parent of which is or was the Company or a Company Subsidiary) or (ii) has any liability for the Taxes of another Person (other than the Company or any Company Subsidiary) under Treasury Regulations Section 1.1502-6 (or any similar provision of any state, local, or foreign Law), as a transferee or successor, or otherwise by reason of Contract (other than any Contract entered into in the ordinary course of business, the primary subject matter of which is not Tax) or operation of Law.</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two (2) years, neither the Company nor any Company Subsidiary has been either a “distributing corporation” or a “controlled corporation” in a distribution of stock intended to qualify for tax-free treatment under Section 355 or Section 361 of the Code.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entered into any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private letter ruling of the IRS or any comparable written ruling of any Governmental Body with respect to Taxes.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1304"/>
        <w:spacing w:after="0" w:line="256" w:lineRule="auto"/>
        <w:tabs>
          <w:tab w:leader="none" w:pos="1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material item of income in, or exclude any material item of deduction from, taxable income for any taxable period (or portion thereof) beginning after the Closing Date as a result of any: (i) “closing agreement” as described in Section 7121 of the Code (or any corresponding or similar provision of applicable Tax Law) executed prior to the Closing; (ii) change in method of accounting for a taxable period ending on or prior to the Closing Date made prior to the Closing; (iii) installment sale or transaction subject to open transaction accounting made prior to the Closing; or (iv) prepaid amount received or deferred revenue accrued on or prior to the Closing Date outside of the ordinary course of business.</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since the time of its original formation) treated as a corporation for U.S. federal and applicable state and local income Tax purposes.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joint venture, partnership or other arrangement or contract that could reasonably be expected to be treated as a partnership for Tax purposes.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 permanent establishment, fixed place of business or branch in any jurisdiction outside of the United States and no Company Subsidiary is a “controlled foreign corporation” as defined in Section 957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party to or bound by a Collective Bargaining Agreement and neither the Company nor any of its Subsidiaries has agreed to recognize any union or other collective bargaining representative. Since January 1, 2023, (i) there has not been any strike, slowdown, work stoppage, lockout, union-related job action, picketing, labor dispute, question concerning labor representation, union organizing activity, or any threat thereof, or any similar activity or dispute, affecting the Company, any Company Subsidiary or any of their respective employees; (ii) there is not now pending, and, to the knowledge of the Company, no Person has threatened in writing to commence, any such strike, slowdown, work stoppage, lockout, union-related job action, picketing, labor dispute, question regarding labor representation or union organizing activity, or any similar activity or dispute; and (iii) neither the Company nor any Company Subsidiary has or is engaged in any unfair labor practice.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1304"/>
        <w:spacing w:after="0" w:line="253" w:lineRule="auto"/>
        <w:tabs>
          <w:tab w:leader="none" w:pos="155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the Company, threatened in writing, arising out of or relating to the employment or engagement of any Company Associate. Since January 1, 2023, the Company has complied in all material respects with all applicable Laws related to employment, including employment practices, payment of wages and hours of work, classification of employees, overtime, leaves of absence, plant closing and mass termination notification, privacy rights, labor dispute, workplace safety, retaliation, immigration, pay equity, pay transparency, and discrimination matters. The Company and the Company Subsidiaries have no material liability or obligations, including under or on account of an Employee Plan, arising out of or relating to the engaging of persons to provide services to the Company or the Company Subsidiaries and treating such persons as consultants or independent contractors and not as employees. A properly completed Form I-9 is on file with respect to each employee of the Company, except as would not be material to the Company. Neither the Company nor any Company Subsidiary has entered into any conciliation agreement, consent decree or other agreement or order with any Governmental Body with respect to employment practices or Laws related to employment.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sets forth, as of the date of this Agreement, a complete list of each material Employee Plan. Neither the Company nor any Company Subsidiary contributes to, or has any obligation to contribute to, any benefit or compensation scheme, plan or arrangement mandated by a government other than a government with jurisdiction in the United States. The Company has made available to Parent or its Representatives with respect to each Employee Plan current, accurate and complete copies (or to the extent no such copies exist, accurate descriptions) of the following, as relevant: (i) current plan documents and all amendments thereto, and all related trust or other funding documents; (ii) any related trust agreement or funding instrument; (iii) any currently effective determination, opinion or advisory letter received from the IRS; (iv) the most recent summary plan description, summary of material modifications and all other non-routine written communications (or a description of all non-routine oral communications) by the Company or any Company Subsidiary to (A) any Governmental Body or (B) their respective Company Associates concerning the extent of the benefits provided under an Employee Plan; and (v) the most recent annual actuarial valuation and the most recent Form 5500 and all schedules thereto.</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Person that would be or, at any relevant time, would have been considered a single employer with the Company or any Company Subsidiary under the Code or ERISA has during the six (6) years prior to the date of this Agreement maintained, contributed to or been required to contribute to (i) a plan subject to Title IV of ERISA or Code Section 412,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Employee Plans that is intended to be qualified under Section 401(a) of the Code has obtained a favorable determination letter (or an advisory or opinion letter, if applicable) as to its qualified status under the Code and is so qualified. Each of the Employee Plans is and has been established and operated in compliance with its terms and all applicable Laws, including ERISA and the Code, and with respect to such Employee Plans, the Company and the Company Subsidiaries have complied in all material respects with all such Laws.</w:t>
      </w:r>
    </w:p>
    <w:p>
      <w:pPr>
        <w:spacing w:after="0" w:line="17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required under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or Section 4980B of the Code (or any other similar state or local Law), none of the Company, the Company Subsidiaries or any Employee Plan has any present or contingent obligation to provide post-employment welfare benefits to or make any payment to, or with respect to, any Company Associate pursuant to any retiree medical benefit plan or other retiree welfare plan or Employee Plan.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firstLine="1304"/>
        <w:spacing w:after="0" w:line="254" w:lineRule="auto"/>
        <w:tabs>
          <w:tab w:leader="none" w:pos="160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consummation of the Transactions (including in combination with other events or circumstances occurring prior to or contemporaneous with the consummation of the Transactions) will not (i) result in any payment or benefit becoming due to any Company Associate or under any Employee Plan, (ii) increase any amount of compensation or benefits otherwise payable to any Company Associate under any Employee Plan, (iii) result in the acceleration of the time of payment, funding, or vesting of any benefit to any Company Associate or under any Employee Plan, (iv) result in any limitation or restriction on the right of the Company’s or any Company Subsidiary’s ability to merge, amend, or terminate any of the Employee Plans, or (v)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(other than routine claims for benefits in the ordinary course) is pending, or, to the knowledge of the Company, threatened in writing against any Employee Plan, the assets of any of the trusts under such plans or the plan sponsor or administrator, or against any fiduciary of any Employee Plan with respect to the operation thereof and to the knowledge of the Company, no fact or circumstance exists that would reasonably be expected to give rise to any such Legal Proceeding. There have been no non-exempt prohibited transactions (within the meaning of Section 4975 of the Code or Section 406 of ERISA) or breaches of any of the duties imposed on “fiduciaries” (within the meaning of Section 3(21) of ERISA) with respect to any of the Employee Plans that could result in any material liability to the Company or any Company Subsidiary.</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Company Associate is or has been at any time since the Formation Date in any material respect in violation of any employment contract, non-disclosure agreement, confidentiality agreement, non-competition agreement, non-solicitation agreement, restrictive covenant, or consulting agreement with the Company or any Company Subsidiary or with a former employer or service recipient relating to the right of any such Company Associate to be employed by or provide services to the Company or any Company Subsidiary.</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 allegations of sexual harassment, sexual misconduct or other unlawful harassment or discrimination have been made against (i) any current officer of the Company or any Company Subsidiaries, (ii) any current employee at a level of Vice President or above, or</w:t>
      </w:r>
    </w:p>
    <w:p>
      <w:pPr>
        <w:jc w:val="both"/>
        <w:ind w:firstLine="8"/>
        <w:spacing w:after="0" w:line="255" w:lineRule="auto"/>
        <w:tabs>
          <w:tab w:leader="none" w:pos="3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or any Company Subsidiary, any former employees, in each case, in his or her capacity as a representative of the Company or any Company Subsidiary. During such period, there have been no Legal Proceedings or settlements involving such matters with such Persons.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In each case except as would not, individually or in the aggregate, reasonably be expected to have a Material Adverse Effect: (a) The Company and the Company Subsidiaries are, and since January 1, 2023 have been, in compliance with all Governmental Authorizations required under Environmental Laws for the operation of its business; (b) as of the date of this Agreement, there is no Legal Proceeding arising under or relating to any Environmental Law that is pending or, to the knowledge of the Company, threatened in writing against the Company or any Company Subsidiary; (c) as of the date of this Agreement, neither the Company nor any Company Subsidiary has received any written notice, report, or other information of or entered into any legally binding agreement, order, settlement, judgment, injunction, or decree involving uncompleted, outstanding, or unresolved violations, liabilities, or requirements on the part of the Company or any Company Subsidiary arising under or relating to Environmental Laws; (d) to the knowledge of the Company: (i) no Person has been exposed to any Hazardous Material at a property or facility of the Company or any Company Subsidiary at levels in excess of applicable permissible exposure levels; and (ii) there is and has been no Hazardous Material present or Released on, at, under, or from any property or facility, including the Leased Real Property, in a manner and concentration that would reasonably be expected to result in any claim against or liability of the Company or any Company Subsidiary under any Environmental Law; and (e) neither the Company nor any Company Subsidiary has assumed, undertaken, or otherwise become subject to any known liability of another Person arising under or relating to Environmental Laws other than any indemnity in Material Contracts or other licenses, leases, or sub-leases for real property.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To the knowledge of the Company, as of the date of this Agreement, all insurance policies with respect to the business and assets of the Company and the Company Subsidiaries are in full force and effect (except for any expiration thereof in accordance with its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date of this Agreement, there is no Legal Proceeding pending or, to the knowledge of the Company, threatened in writing, against the Company or any Company Subsidiary, or any property or asset of the Company or any Company Subsidiary, or to the knowledge of the Company, against any present or former officer, director or employee of the Company or any Company Subsidiary in such individual’s capacity as such, other than any Legal Proceeding that would not reasonably be expected to be material to the business of the Company and the Company Subsidiaries, taken as a whole.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neither the Company nor, to the knowledge of the Company, any of its contract manufacturers for any Products or any contract research organizations for any Company clinical studies, have received any FDA Form 483 or other notices of violations, inspectional observations, warning letters, untitled letters or other written administrative, regulatory or enforcement notice from any Regulatory Authority.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date of this Agreement, there is no order, writ, injunction, or judgment to which the Company or any Company Subsidiary is subject that would not reasonably be expected to be material to the business of the Company and the Company Subsidiaries, taken as a whole.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1304"/>
        <w:spacing w:after="0" w:line="266" w:lineRule="auto"/>
        <w:tabs>
          <w:tab w:leader="none" w:pos="157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as of the date of this Agreement, no investigation or review by any Governmental Body with respect to the Company is pending or is being threatened, other than any investigations or reviews that would not reasonably be expected to be material to the business of the Company and the Company Subsidiaries, taken as a whole.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the Company or the Company Subsidiaries expressly for inclusion in the proxy statement (including the letter to stockholders, notice of meeting and form of proxy, and any other document incorporated or referenced therein, as each may be amended or supplemented,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not false or misleading. Notwithstanding the foregoing sentence, no representation or warranty is made by the Company with respect to any information or statement made or incorporated by reference in the Proxy Statement that was not supplied by or on behalf of the Company or any Company Subsidiary for use therein.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of the Company Disclosure Schedule, the Company or a Subsidiary, as applicable, has good and valid title to, or a valid and enforceable right to use, in all material respects, all of the material tangible properties, assets and rights used or held for use in connection with the business of the Company and the Subsidiaries as of the date of this Agreement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Except as would not, individually or in the aggregate, have a Material Adverse Effect, as of the date of this Agreement, the tangible Assets are in good operating condition (except for normal wear and tear and deferred maintenance).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Company Disclosure Schedule, no Affiliate of the Company (other than the Company Subsidiaries) nor any directors or officers of the Company, the Company Subsidiaries or their respective Affiliates owns any material property which is used by the Company or any of its Subsidiaries in the conduct of its business.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Major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of the Company Disclosure Schedule sets forth an accurate and complete list of (i) each supplier who was one (1) of the ten (10) largest suppliers of the Company and its Subsidiaries (taken as a whole) for each of 2024 and 2025, based on amounts paid or payable to such suppliers as of the date of this Agreement and (ii) each other supplier materially involved in the conduct of any clinical trials operated by the Company or any of its Subsidiaries as of the date of this Agreement and as of the Effective Time, including, without limitation, contract research organization, any contract manufacturing or development organization supplying clinical trial materials, and any clinical investigator, clinical trial site or laboratory ((i) and (ii) each, a “</w:t>
      </w:r>
      <w:r>
        <w:rPr>
          <w:rFonts w:ascii="Times New Roman" w:cs="Times New Roman" w:eastAsia="Times New Roman" w:hAnsi="Times New Roman"/>
          <w:sz w:val="18"/>
          <w:szCs w:val="18"/>
          <w:b w:val="1"/>
          <w:bCs w:val="1"/>
          <w:i w:val="1"/>
          <w:iCs w:val="1"/>
          <w:color w:val="auto"/>
        </w:rPr>
        <w:t>Major Supplier</w:t>
      </w:r>
      <w:r>
        <w:rPr>
          <w:rFonts w:ascii="Times New Roman" w:cs="Times New Roman" w:eastAsia="Times New Roman" w:hAnsi="Times New Roman"/>
          <w:sz w:val="18"/>
          <w:szCs w:val="18"/>
          <w:color w:val="auto"/>
        </w:rPr>
        <w:t>”). Neither the Company nor any Company Subsidiary has any pending material dispute with any Major Supplier. Since January 1, 2023, neither the Company nor any Company Subsidiary has received any written notice or, to the knowledge of the Company, other communication from any Major Supplier to the effect that such Major Supplier will likely not continue as a supplier of any of the Company or any Company Subsidiary or to the effect that such Major Supplier intends to terminate or materially modify any existing Contract with the Company or any of its Subsidiaries in any manner materially adverse to the Company and its Subsidiaries, including by materially reducing the scale of the business conducted with, the Company or any of its Subsidiaries. To the Company’s knowledge, each Major Supplier conducts its business in respect of the Company in material compliance with all applicable Laws (including Healthcare Laws and Privacy Laws) and the Company exercises appropriate oversight of all Major Suppliers’ compliance with such Laws. The Company has not, since January 1, 2023, subjected any Major Suppliers to, and to the Company’s knowledge no Major Supplier has been subjected by any Regulatory Authority to, any corrective or preventative actions.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Opinions of Financial Advisors</w:t>
      </w:r>
      <w:r>
        <w:rPr>
          <w:rFonts w:ascii="Times New Roman" w:cs="Times New Roman" w:eastAsia="Times New Roman" w:hAnsi="Times New Roman"/>
          <w:sz w:val="18"/>
          <w:szCs w:val="18"/>
          <w:color w:val="auto"/>
        </w:rPr>
        <w:t>. The Company Board (in such capacity) has received the oral opinion, to be subsequently confirmed by delivery of a written opinion, of each of Goldman Sachs &amp; Co. LLC (“</w:t>
      </w:r>
      <w:r>
        <w:rPr>
          <w:rFonts w:ascii="Times New Roman" w:cs="Times New Roman" w:eastAsia="Times New Roman" w:hAnsi="Times New Roman"/>
          <w:sz w:val="18"/>
          <w:szCs w:val="18"/>
          <w:b w:val="1"/>
          <w:bCs w:val="1"/>
          <w:i w:val="1"/>
          <w:iCs w:val="1"/>
          <w:color w:val="auto"/>
        </w:rPr>
        <w:t>Goldman</w:t>
      </w:r>
      <w:r>
        <w:rPr>
          <w:rFonts w:ascii="Times New Roman" w:cs="Times New Roman" w:eastAsia="Times New Roman" w:hAnsi="Times New Roman"/>
          <w:sz w:val="18"/>
          <w:szCs w:val="18"/>
          <w:color w:val="auto"/>
        </w:rPr>
        <w:t>”) and Jefferies LLC (“</w:t>
      </w:r>
      <w:r>
        <w:rPr>
          <w:rFonts w:ascii="Times New Roman" w:cs="Times New Roman" w:eastAsia="Times New Roman" w:hAnsi="Times New Roman"/>
          <w:sz w:val="18"/>
          <w:szCs w:val="18"/>
          <w:b w:val="1"/>
          <w:bCs w:val="1"/>
          <w:i w:val="1"/>
          <w:iCs w:val="1"/>
          <w:color w:val="auto"/>
        </w:rPr>
        <w:t>Jefferies</w:t>
      </w:r>
      <w:r>
        <w:rPr>
          <w:rFonts w:ascii="Times New Roman" w:cs="Times New Roman" w:eastAsia="Times New Roman" w:hAnsi="Times New Roman"/>
          <w:sz w:val="18"/>
          <w:szCs w:val="18"/>
          <w:color w:val="auto"/>
        </w:rPr>
        <w:t>”), each as a financial advisor to the Company, to the effect that, as of the date of such written opinion and based upon and subject to the matters set forth therein, including the various assumptions made, procedures followed, matters considered and qualifications and limitations set forth in such written opinion, the Merger Consideration to be paid to the holders of Shares (other than Parent, Merger Sub and their respective affiliates) pursuant to this Agreement is fair, from a financial point of view, to such holders. The Company shall provide a copy of such written opinions to Parent solely for informational purposes promptly after execution of this Agreement. It is understood and agreed by the Parties hereto that such opinions may not be relied on by Parent or Merger Sub.</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Financial Advisors</w:t>
      </w:r>
      <w:r>
        <w:rPr>
          <w:rFonts w:ascii="Times New Roman" w:cs="Times New Roman" w:eastAsia="Times New Roman" w:hAnsi="Times New Roman"/>
          <w:sz w:val="18"/>
          <w:szCs w:val="18"/>
          <w:color w:val="auto"/>
        </w:rPr>
        <w:t>. Except for Goldman and Jefferies,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made available to Parent or its Representatives, each of the engagement letters pursuant to which Goldman and Jefferies have been engaged by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 Except for the express written representations and warranties made by the Company in this Agreement and in any instrument or other document delivered pursuant to this Agreement, no Company Party makes any express or implied representation or warranty with respect to the Company or any Company Affiliate.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Parent and Merger Sub hereby represent and warrant to the Company that, except as (A) set forth in the Parent Disclosure Schedule delivered by Parent to the Company prior to the execution of this Agreement or (B) expressly disclosed in any reports, schedules, forms, statements, and other documents (including exhibits and all other information incorporated therein) required to be filed or furnished by Guarantor with or to the SEC (the “</w:t>
      </w:r>
      <w:r>
        <w:rPr>
          <w:rFonts w:ascii="Times New Roman" w:cs="Times New Roman" w:eastAsia="Times New Roman" w:hAnsi="Times New Roman"/>
          <w:sz w:val="18"/>
          <w:szCs w:val="18"/>
          <w:b w:val="1"/>
          <w:bCs w:val="1"/>
          <w:i w:val="1"/>
          <w:iCs w:val="1"/>
          <w:color w:val="auto"/>
        </w:rPr>
        <w:t>Guarantor SEC Documents</w:t>
      </w:r>
      <w:r>
        <w:rPr>
          <w:rFonts w:ascii="Times New Roman" w:cs="Times New Roman" w:eastAsia="Times New Roman" w:hAnsi="Times New Roman"/>
          <w:sz w:val="18"/>
          <w:szCs w:val="18"/>
          <w:color w:val="auto"/>
        </w:rPr>
        <w:t>”) filed with, or furnished to, the SEC and publicly available after December 31, 2024 and prior to the date of this Agreement, other than all risk factor disclosures, disclosures about market risk, or other cautionary, predictive or forward-looking disclosures contained therein that do not relate to specific historical events or circumstances affecting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disclosed in the Guarantor SEC Documents shall be deemed to be a qualification of, or modification to, (i)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(ii) representations and warranties the relevance of that disclosure as an exception to (or a disclosure for purposes of) is not reasonably apparent on the face of such disclosure):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Merger Sub is a corporation, and Parent is a limited liability company, duly organized, validly existing, and in good standing under the Laws of its jurisdiction of organization and has all necessary power and authority to: (a) conduct its business in the manner in which its business is currently being conducted; (b) own and use its assets in the manner in which its assets are currently owned and used; and (c) perform its obligations under all Contracts by which it is bound, except as would not, individually or in the aggregate, reasonably be expected to have a Parent Material Adverse Effect. Parent has made available to the Company accurate and complete copies of, as applicable, the certificate of incorporation, certificate of formation, bylaws, limited liability company agreement and other charter and organizational documents of Parent and Merger Sub, including all amendments thereto.</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Parent and Merger Sub</w:t>
      </w:r>
      <w:r>
        <w:rPr>
          <w:rFonts w:ascii="Times New Roman" w:cs="Times New Roman" w:eastAsia="Times New Roman" w:hAnsi="Times New Roman"/>
          <w:sz w:val="18"/>
          <w:szCs w:val="18"/>
          <w:color w:val="auto"/>
        </w:rPr>
        <w:t>. Parent and Merger Sub were formed solely for the purpose of engaging in the Transactions and activities incidental thereto and have not engaged in any business activity or conducted any operation other than in connection with the Transactions and those incident to its formation. Parent, a wholly owned Subsidiary of Guarantor, owns beneficially and of record all of the outstanding capital stock of Merger Sub. Parent and Merger Sub have no outstanding option, warrant, right, or any other agreement pursuant to which any Person other than Guarantor or its Affiliates may acquire any equity of Parent and pursuant to which any Person other than Parent or its Affiliates may acquire any equity security of Merger Sub.</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Each of Parent and Merger Sub has the corporate power and authority to execute and deliver and perform its obligations under this Agreement and to consummate the Transactions, and the execution, delivery, and performance by each of Parent and Merger Sub of this Agreement has been duly authorized by all necessary action on the part of Parent and Merger Sub and their respective boards of directors. Assuming due authorization, execution, and delivery by the Company, this Agreement constitutes and, at the Effective Time, will constitute, a legal, valid, and binding obligation of Parent and Merger Sub, as the case may be, and is enforceable against such Party in accordance with its terms, subject to the Enforceability Exceptions.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 not, and the performance of this Agreement by Parent and Merger Sub and the consummation by Parent and Merger Sub of the Transactions will not, (i) conflict with or violate either Merger Sub’s certificate of incorporation or bylaws or Parent’s certificate of formation or limited liability company agreement, (ii) assuming that all consents, approvals, and other authorizations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have been made or taken, conflict with or violate any Law applicable to Parent or Merger Sub or by which any property or asset of Parent or Merger Sub is bound or affected, or (iii) result in any breach or violation of, or constitute a default (or an event that, with notice or lapse of time or both, would become a default) by Parent or any Subsidiary of Parent (including Merger Sub) under, or give to others any right of termination, amendment, acceleration, or cancellation of, or result in the loss of any benefit under, or the creation of any Encumbrance on the properties or assets of the Company pursuant to, any Contract or other instrument or obligation to which Parent or Merger Sub is a party or by which Parent or Merger Sub or any property or asset of either of them is bound or affected, except, with respect to each of the foregoing clauses (ii) and (iii), for any such conflict, violation, breach, default, or other occurrence that would not, individually or in the aggregate, reasonably be expected to have a Parent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and (vii) any other consent, approval, order, authorization, authority, transfer, waiver, disclaimer, registration, declaration, or filing that, in each case, if not obtained or made, would not, individually or in the aggregate, reasonably be expected to have a Parent Material Adverse Effect. No vote of Guarantor’s stockholders is necessary to approve Guarantor’s execution of this Agreement or the consummation of the Transactions.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Parent or its Affiliates expressly for inclusion in the Proxy Statement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sentence, no representation or warranty is made by Parent with respect to any information or statement made or incorporated by reference in the Proxy Statement that was not supplied by or on behalf of Parent or its Affiliates for use therein.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is no Legal Proceeding pending or, to the knowledge of Parent, threatened in writing against Parent or Merger Sub, except as would not, individually or in the aggregate, reasonably be expected to have a Parent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Parent will at the Closing have cash resources in immediately available funds and in an amount sufficient to consummate the Transactions, including payment of the aggregate Merger Consideration and any fee and expense of, or payable by, Parent or Merger Sub in connection with the Transactions.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Neither Parent nor any Affiliate of Parent directly or indirectly owns, and at all times for the past three years, neither Guarantor nor any of controlled Affiliates of Guarantor has owned, beneficially or otherwise, any share of the Company’s capital stock or any security, contract, or obligation convertible into or exercisable or exchangeable for shares of the Company’s capital stock. Neither Parent, nor Merger Sub has enacted or will enact a plan that complies with Rule 10b5-1 promulgated under the Exchange Act covering the purchase of any of the shares of the Company’s capital stock. As of the date of this Agreement, none of Parent, Merger Sub or any of their respective “affiliates” or “associates” is an “interested stockholder” of the Company (as such terms are defined in Section 203 of the DGCL).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Investment Intention</w:t>
      </w:r>
      <w:r>
        <w:rPr>
          <w:rFonts w:ascii="Times New Roman" w:cs="Times New Roman" w:eastAsia="Times New Roman" w:hAnsi="Times New Roman"/>
          <w:sz w:val="18"/>
          <w:szCs w:val="18"/>
          <w:color w:val="auto"/>
        </w:rPr>
        <w:t>. Parent is acquiring through the Merger the shares of capital stock of the Surviving Corporation for its own account, for investment purposes only and not with a view to the distribution (within the meaning of Section 2(11) of the Securities Act) thereof. Parent understands that the shares of capital stock of the Surviving Corporation will not be registered under the Securities Act or any “blue sky” Laws and cannot be sold unless subsequently registered under the Securities Act, any applicable “blue sky” Laws, or pursuant to an exemption from any such registration.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Transactions based upon arrangements made by or on behalf of Parent or its Subsidiaries except for Persons, if any, whose fees, and expenses shall be paid by Parent or its Affiliates.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express written representations and warranties made by Parent and Merger Sub in this Agreement and in any instrument or other document delivered pursuant to this Agreement, none of Parent, Merger Sub, or any other Person makes any express or implied representation or warranty with respect to Parent, Merger Sub, or any of their respective Affiliates.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7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during the period from the date of this Agreement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xml:space="preserve">”), on reasonable advance notice to the Company, the Company shall, and shall cause its Subsidiaries to, provide Parent and its Representatives with reasonable access during the Company’s normal business hours to the Company and its Subsidiaries, properties, contracts, commitments, personnel, and books and records reasonably requested by Parent for purposes of strategic and integration planning for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a reasonable time and in such a manner as not to unreasonably interfere with the normal operation of the business of the Company. Any such access shall be requested by written notice to the Company personnel listed on </w:t>
      </w:r>
      <w:r>
        <w:rPr>
          <w:rFonts w:ascii="Times New Roman" w:cs="Times New Roman" w:eastAsia="Times New Roman" w:hAnsi="Times New Roman"/>
          <w:sz w:val="18"/>
          <w:szCs w:val="18"/>
          <w:u w:val="single" w:color="auto"/>
          <w:color w:val="auto"/>
        </w:rPr>
        <w:t>Schedule 5.1(a)</w:t>
      </w:r>
      <w:r>
        <w:rPr>
          <w:rFonts w:ascii="Times New Roman" w:cs="Times New Roman" w:eastAsia="Times New Roman" w:hAnsi="Times New Roman"/>
          <w:sz w:val="18"/>
          <w:szCs w:val="18"/>
          <w:color w:val="auto"/>
        </w:rPr>
        <w:t xml:space="preserve"> and shall be subject to the Company’s reasonable health and safety, security measures and insurance requirements. Nothing in this Agreement shall require the Company to disclose or provide access to any information to the extent such disclosure or access could in the reasonable discretion of the Company (A) jeopardize any attorney-client or other legal privilege (so long as the Company has reasonably cooperated with Parent to permit such inspection of or to disclose such information on a basis that does not waive such privilege with respect thereto) or (B) contravene any applicable Law or binding agreement entered into prior to the date of this Agreement (including any confidentiality agreement to which the Company or any of its Affiliates is a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Company shall inform Parent as to the general nature of what is being withheld and shall reasonably cooperate with Parent to make appropriate substitute arrangements to permit reasonable disclosure that does not suffer from any of the foregoing impediments, including through the use of commercially reasonable efforts to, if reasonably requested by Parent, (1) obtain the required consent or waiver of any third party required to provide such information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any applicable Law or binding agreement or jeopardizing such privilege.</w:t>
      </w:r>
    </w:p>
    <w:p>
      <w:pPr>
        <w:spacing w:after="0" w:line="19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information disclosed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Guarantor and Parent shall comply with, and shall instruct their Representatives to comply with, all of its obligations under the bilateral confidential disclosure agreement, dated as of April 7, 2026, between the Company and Guarantor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information provided or obtained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affect any representation or warranty in this Agreement of any Party or any condition to the obligations of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Operation of the Company’s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expressly required or contemplated under this Agreement or as required by applicable Laws or (y) with the written consent of Parent, which consent shall not be unreasonably withheld, conditioned, or delayed, the Company shall, and shall cause the Company Subsidiaries to, use commercially reasonable efforts to: (i) conduct its business in the ordinary course of business as was being conducted prior to the date of this Agreement and (ii) preserve intact its assets, business organization and relations with employees, customers, suppliers, licensors, licensees, Governmental Bodies and any other Person with whom the Company has material business relationships;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action by the Company or any Company Subsidiary with respect to matters specifically addressed by any provision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both"/>
        <w:ind w:right="20" w:firstLine="1304"/>
        <w:spacing w:after="0" w:line="266" w:lineRule="auto"/>
        <w:tabs>
          <w:tab w:leader="none" w:pos="156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(w) as expressly required or contemplated under this Agreement or as required by applicable Laws, (x) with the written consent of Parent, which consent shall not be unreasonably withheld, conditioned, or delayed, or (y)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Schedule, neither Company nor any Company Subsidiary shall:</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1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establish a record date for, declare, accrue, set aside, or pay any dividend or make any other distribution in respect of any securities (including the Company Common Stock) (other than with respect to any dividend or distribution by a direct or indirect wholly owned Company Subsidiary to its direct or indirect parent) or (B) repurchase, redeem, or otherwise reacquire any share of capital stock (including any Share), or any right, warrant, or option to acquire any share of its capital stock, other than (a) with respect to transactions among the Company and its wholly owned Subsidiaries or among the Company’s wholly owned Subsidiaries, (b) in connection with the exercise, cancellation or conversion of Company Warrants in accordance with their terms as of the date hereof or (c) in connection with the vesting, exercise, or settlement of Company Equity Awards in accordance with their terms or in connection with withholding to satisfy the exercise price and/or Tax obligations with respect to Company Equity Awards, in the case of clauses (b) and (c) outstanding as of the date hereof;</w:t>
      </w:r>
    </w:p>
    <w:p>
      <w:pPr>
        <w:spacing w:after="0" w:line="19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(including the Shares) or other equity interests;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transfer, create an Encumbrance, or authorize the issuance, sale, delivery, pledge, transfer, Encumbrance, or grant by the Company of (A) any capital stock, equity interest, or other security of the Company, (B) any option, call, warrant, restricted securities, or right to acquire any capital stock, equity interest, or other security of the Company, or (C) any instrument convertible into or exchangeable for any capital stock, equity interest, or other security of the Company (except, in each case, in connection with the exercise, cancellation or conversion of Company Warrants in accordance with their terms as of the date hereof or on the exercise of Company Options or settlement of Company Restricted Stock Units, in each case, outstanding as of the date hereof and in accordance with their present terms);</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31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1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under the terms of any Employee Plan as of the date hereof and which has been made available to Parent and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(A) establish, adopt, terminate, or amend any Employee Plan (or other compensation or benefit plan, program, agreement, or arrangement that would be an Employee Plan if in effect on the date hereof); (B) accelerate the vesting or funding of any compensation or benefits under any Employee Plan; (C) grant any bonus or severance to, or increase the compensation (including, for the avoidance of doubt, equity or equity-based awards) or benefits of, any Company Associate; (D) enter into or amend any change-of-control, retention, employment, severance, consulting, or other agreement with any Company Associate; (E) hire, promote or terminate (other than for cause) any Company Associate; or (F) make any determination under any Employee Plan that is inconsistent with the Company’s ordinary course of business;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8"/>
          <w:szCs w:val="18"/>
          <w:color w:val="auto"/>
        </w:rPr>
        <w:t>(vi) amend or permit the adoption of any amendment to its certificate of incorporation or bylaws or other organizational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jc w:val="both"/>
        <w:ind w:firstLine="1292"/>
        <w:spacing w:after="0" w:line="266" w:lineRule="auto"/>
        <w:tabs>
          <w:tab w:leader="none" w:pos="1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interest or equity-linked interest in any other Entity (other than securities in a publicly traded company held for investment by the Company and consisting of less than 1% of the outstanding capital stock of such Entity) or enter into any joint venture, partnership, limited liability corporation, or similar arrangement;</w:t>
      </w:r>
    </w:p>
    <w:p>
      <w:pPr>
        <w:spacing w:after="0" w:line="175" w:lineRule="exact"/>
        <w:rPr>
          <w:rFonts w:ascii="Times New Roman" w:cs="Times New Roman" w:eastAsia="Times New Roman" w:hAnsi="Times New Roman"/>
          <w:sz w:val="18"/>
          <w:szCs w:val="18"/>
          <w:color w:val="auto"/>
        </w:rPr>
      </w:pPr>
    </w:p>
    <w:p>
      <w:pPr>
        <w:ind w:right="20" w:firstLine="1292"/>
        <w:spacing w:after="0" w:line="282" w:lineRule="auto"/>
        <w:tabs>
          <w:tab w:leader="none" w:pos="17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authorize aggregate capital expenditures in excess of $2,500,000 in the aggregate or $250,000 individually above amounts indicated in </w:t>
      </w:r>
      <w:r>
        <w:rPr>
          <w:rFonts w:ascii="Times New Roman" w:cs="Times New Roman" w:eastAsia="Times New Roman" w:hAnsi="Times New Roman"/>
          <w:sz w:val="18"/>
          <w:szCs w:val="18"/>
          <w:u w:val="single" w:color="auto"/>
          <w:color w:val="auto"/>
        </w:rPr>
        <w:t>Section 5.2(b)(viii)</w:t>
      </w:r>
      <w:r>
        <w:rPr>
          <w:rFonts w:ascii="Times New Roman" w:cs="Times New Roman" w:eastAsia="Times New Roman" w:hAnsi="Times New Roman"/>
          <w:sz w:val="18"/>
          <w:szCs w:val="18"/>
          <w:color w:val="auto"/>
        </w:rPr>
        <w:t xml:space="preserve"> of the Company Disclosure Schedule;</w:t>
      </w:r>
    </w:p>
    <w:p>
      <w:pPr>
        <w:spacing w:after="0" w:line="161" w:lineRule="exact"/>
        <w:rPr>
          <w:rFonts w:ascii="Times New Roman" w:cs="Times New Roman" w:eastAsia="Times New Roman" w:hAnsi="Times New Roman"/>
          <w:sz w:val="18"/>
          <w:szCs w:val="18"/>
          <w:color w:val="auto"/>
        </w:rPr>
      </w:pPr>
    </w:p>
    <w:p>
      <w:pPr>
        <w:jc w:val="both"/>
        <w:ind w:firstLine="1292"/>
        <w:spacing w:after="0" w:line="258" w:lineRule="auto"/>
        <w:tabs>
          <w:tab w:leader="none" w:pos="16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lease, license, sublicense, pledge, sell, or otherwise dispose of, abandon, waive, relinquish or fail to renew, permit to lapse, transfer, assign, or subject to any material Encumbrance (other than Permitted Encumbrances) any material right or other material asset or property (in each case, excluding any Intellectual Property Rights, which are addressed in </w:t>
      </w:r>
      <w:r>
        <w:rPr>
          <w:rFonts w:ascii="Times New Roman" w:cs="Times New Roman" w:eastAsia="Times New Roman" w:hAnsi="Times New Roman"/>
          <w:sz w:val="18"/>
          <w:szCs w:val="18"/>
          <w:u w:val="single" w:color="auto"/>
          <w:color w:val="auto"/>
        </w:rPr>
        <w:t>Section 5.2(b)(x)</w:t>
      </w:r>
      <w:r>
        <w:rPr>
          <w:rFonts w:ascii="Times New Roman" w:cs="Times New Roman" w:eastAsia="Times New Roman" w:hAnsi="Times New Roman"/>
          <w:sz w:val="18"/>
          <w:szCs w:val="18"/>
          <w:color w:val="auto"/>
        </w:rPr>
        <w:t xml:space="preserve">) (except, in the case of any of the foregoing, (A) in the ordinary course of business, (B) pursuant to dispositions of obsolete, surplus, or worn-out assets that are no longer useful for the conduct of the business of the Company or any Company Subsidiary and (C) as permitted by </w:t>
      </w:r>
      <w:r>
        <w:rPr>
          <w:rFonts w:ascii="Times New Roman" w:cs="Times New Roman" w:eastAsia="Times New Roman" w:hAnsi="Times New Roman"/>
          <w:sz w:val="18"/>
          <w:szCs w:val="18"/>
          <w:u w:val="single" w:color="auto"/>
          <w:color w:val="auto"/>
        </w:rPr>
        <w:t>Section 5.2(b)(viii)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292"/>
        <w:spacing w:after="0" w:line="255" w:lineRule="auto"/>
        <w:tabs>
          <w:tab w:leader="none" w:pos="15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sublicense, pledge, transfer, assign, sell or otherwise dispose of, abandon, permit to lapse, encumber or grant any other right with respect to any Company Owned IP or Company Licensed IP that is exclusively licensed to Company or any Company Subsidiary (except for (A) non-exclusive licenses, sublicenses and covenants-not-to-sue granted to employees, consultants, vendors, suppliers or contractors (including contract manufacturers, contract research and/or development organizations or distributors) of the Company or any Company Subsidiaries in the ordinary course of business solely for the purpose of such Persons performing services or providing goods for or on behalf of the Company or any Company Subsidiary, in each case, subject to reasonable written confidentiality obligations with respect to any Trade Secrets and (B) the expiration of any Intellectual Property Right at the end of its applicable statutory term);</w:t>
      </w:r>
    </w:p>
    <w:p>
      <w:pPr>
        <w:spacing w:after="0" w:line="188" w:lineRule="exact"/>
        <w:rPr>
          <w:rFonts w:ascii="Times New Roman" w:cs="Times New Roman" w:eastAsia="Times New Roman" w:hAnsi="Times New Roman"/>
          <w:sz w:val="18"/>
          <w:szCs w:val="18"/>
          <w:color w:val="auto"/>
        </w:rPr>
      </w:pPr>
    </w:p>
    <w:p>
      <w:pPr>
        <w:jc w:val="both"/>
        <w:ind w:firstLine="1292"/>
        <w:spacing w:after="0" w:line="258" w:lineRule="auto"/>
        <w:tabs>
          <w:tab w:leader="none" w:pos="16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renew (or fail to exercise a renewal option under), or modify a Company Lease if such Company Lease, amendment, renewal, or modification would increase the aggregate amount of payments under such Company Lease (as amended, renewed, or modified, as the case may be) by in excess of $100,000 annually or terminate any Company Lease (except any termination that shall occur at the end of the maximum term of such Company Lease, other than by extending such term through the payment of any extension fee in excess of $100,000);</w:t>
      </w:r>
    </w:p>
    <w:p>
      <w:pPr>
        <w:spacing w:after="0" w:line="35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5" w:name="page56"/>
    <w:bookmarkEnd w:id="55"/>
    <w:p>
      <w:pPr>
        <w:jc w:val="both"/>
        <w:ind w:left="-460" w:firstLine="1292"/>
        <w:spacing w:after="0" w:line="258" w:lineRule="auto"/>
        <w:tabs>
          <w:tab w:leader="none" w:pos="119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advance to, or investment in, any Person (other than between the Company and any of its wholly owned Subsidiaries), or incur, assume, prepay, repurchase, redeem, modify in any material respect or guarantee or refinance any Indebtedness (including any funding under that certain revenue participation right purchase and sale agreement (the “</w:t>
      </w:r>
      <w:r>
        <w:rPr>
          <w:rFonts w:ascii="Times New Roman" w:cs="Times New Roman" w:eastAsia="Times New Roman" w:hAnsi="Times New Roman"/>
          <w:sz w:val="18"/>
          <w:szCs w:val="18"/>
          <w:u w:val="single" w:color="auto"/>
          <w:color w:val="auto"/>
        </w:rPr>
        <w:t>Revenue Participation 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26, 2026, by and between the Company as seller and Annapurna Aggregator L.P. as buyer (“</w:t>
      </w:r>
      <w:r>
        <w:rPr>
          <w:rFonts w:ascii="Times New Roman" w:cs="Times New Roman" w:eastAsia="Times New Roman" w:hAnsi="Times New Roman"/>
          <w:sz w:val="18"/>
          <w:szCs w:val="18"/>
          <w:u w:val="single" w:color="auto"/>
          <w:color w:val="auto"/>
        </w:rPr>
        <w:t>BXLS</w:t>
      </w:r>
      <w:r>
        <w:rPr>
          <w:rFonts w:ascii="Times New Roman" w:cs="Times New Roman" w:eastAsia="Times New Roman" w:hAnsi="Times New Roman"/>
          <w:sz w:val="18"/>
          <w:szCs w:val="18"/>
          <w:color w:val="auto"/>
        </w:rPr>
        <w:t>”), and excluding advances to employees and consultants for travel and other business-related expenses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2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(A) amend or modify in any material respect any Material Contract, (B) waive any material right under, terminate, replace, or release, settle, or compromise any material claim, liability or obligation under any Material Contract or (C) enter into any Contract that, if entered into prior to the date of this Agreement, would have been a Material Contract (except for any statement of work, purchase order or similar ancillary agreement or documentation issued under an existing Material Contract, in each case not in excess of $250,000 individually nor more than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none of the foregoing actions with respect to any Paragon License Agreement or the Revenue Participation Right Agreement will be deemed to be in the ordinary course of business;</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the Company and the Company’s Subsidiaries;</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1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except: (A) with respect to routine matters in the ordinary course of business; (B) in such cases where the Company reasonably determines in good faith that the failure to commence suit would be reasonably likely to result in a material impairment of a valuable aspect of its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consults with Parent and considers in good faith the views and comments of Parent with respect to any such Legal Proceeding prior to commencement thereof); or (C) in connection with or relating to the Transactions, including a breach of this Agreement or any other agreement contemplated hereby;</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6" w:name="page57"/>
    <w:bookmarkEnd w:id="56"/>
    <w:p>
      <w:pPr>
        <w:jc w:val="both"/>
        <w:ind w:left="4" w:firstLine="1292"/>
        <w:spacing w:after="0" w:line="252" w:lineRule="auto"/>
        <w:tabs>
          <w:tab w:leader="none" w:pos="16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other claim (or threatened Legal Proceeding or other claim), other than (A) any actual or threatened Legal Proceeding, (B) any actual or threatened Legal Proceeding or other claim arising out of or relating to the Transactions, including a breach of this Agreement or any other agreement contemplated hereby, or (C) pursuant to a settlement that does not relate to any of the Transactions and, in the case of this clause (C), (1) that results solely in a monetary obligation involving only the payment of monies by the Company of not more than $1,000,000 individually and $5,000,000 in the aggregate; (2) that results solely in a monetary obligation that is funded by an indemnity obligation to, or an insurance policy of, the Company and the payment of monies by the Company that together with any settlement made under clause (1) are not more than $1,000,000 individually and $5,000,000 in the aggregate (not funded by an indemnity obligation or through insurance policies); (3) that results solely in a monetary obligation involving payment by the Company of an amount not greater than the amount specifically reserved in accordance with GAAP with respect to such Legal Proceeding or claim on the Balance Sheet; or</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does not result in any monetary obligation of the Company or a Company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5.2(b)(xvi)</w:t>
      </w:r>
      <w:r>
        <w:rPr>
          <w:rFonts w:ascii="Times New Roman" w:cs="Times New Roman" w:eastAsia="Times New Roman" w:hAnsi="Times New Roman"/>
          <w:sz w:val="18"/>
          <w:szCs w:val="18"/>
          <w:color w:val="auto"/>
        </w:rPr>
        <w:t xml:space="preserve"> shall not apply to any Legal Proceeding arising out of or relating to any matter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Tax compliance matters which are exclusively governed by </w:t>
      </w:r>
      <w:r>
        <w:rPr>
          <w:rFonts w:ascii="Times New Roman" w:cs="Times New Roman" w:eastAsia="Times New Roman" w:hAnsi="Times New Roman"/>
          <w:sz w:val="18"/>
          <w:szCs w:val="18"/>
          <w:u w:val="single" w:color="auto"/>
          <w:color w:val="auto"/>
        </w:rPr>
        <w:t>Section 5.2(b)(xx)</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77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adopt, enter into, amend, modify or terminate any Collective Bargaining Agreement (except to the extent required by applicable Laws);</w:t>
      </w:r>
    </w:p>
    <w:p>
      <w:pPr>
        <w:spacing w:after="0" w:line="161"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17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disclose to any Person any trade secrets relating to any Product or that are otherwise material to the Company or any of its Subsidiaries, other than (A) in the ordinary course of business, to contract manufacturers, contract research and/or organizations, distributors, customers, suppliers, licensors, licensees, sublicensees, Governmental Bodies and any other Person with whom the Company has a business relationship as of the date of this Agreement, (B) in connection with non-disclosure agreements entered into in the ordinary course of business, in each case with respect to clauses (A) and (B), subject to written confidentiality obligations binding on such Person, or (C) in compliance with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1292"/>
        <w:spacing w:after="0" w:line="255" w:lineRule="auto"/>
        <w:tabs>
          <w:tab w:leader="none" w:pos="17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(A) initiate or commence any new clinical trials, (B) amend or modify any existing clinical trial protocols, study recruitment efforts, study enrollment activities or clinical trial timelines, except as required by applicable Regulatory Authority or any institutional review board or (C) terminate, discontinue or suspend any ongoing clinical trials or activities for planned clinical trials, except as required by applicable Regulatory Authority or any institutional review board, as determined by the Company in good faith, and except, in each case, and in each case of (B) and (C), where the Company reasonably believes such amendment, modification or termination, as applicable, is necessary to protect the safety or welfare of clinical trial subject(s) and it would be impracticable under applicable Law and/or in light of such safety concerns to give advance notice;</w:t>
      </w:r>
    </w:p>
    <w:p>
      <w:pPr>
        <w:spacing w:after="0" w:line="188"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168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(except in the ordinary course of business), change, or rescind any material Tax election; (B) settle or compromise any material Tax liability or claim; (C) change (or request to change) any material method of accounting for Tax purposes or Tax accounting period; (D) amend, refile, modify or otherwise change any material Tax Return that was previously filed; (E) waive or extend any statute of limitations in respect of a period within which an assessment or reassessment of material Taxes may be issued (other than in connection with an extension to file a Tax Return of no longer than seven (7) months); (F) enter into any pre-filing, advance pricing agreement or material “closing agreement” as described in Section 7121 of the Code (or any corresponding or similar provision of state, local, or non-U.S. Tax Law) with any Governmental Body; (G) surrender any right to claim a material refund, credit, offset or other reduction in Taxes; (H) enter into any Tax allocation agreement, Tax sharing agreement or Tax indemnification agreement with respect to any material amount of Taxes (other than commercial Contracts not primarily related to Taxes) or (I) take any position with respect to a material item on any Tax Return in a manner inconsistent with past practice;</w:t>
      </w:r>
    </w:p>
    <w:p>
      <w:pPr>
        <w:spacing w:after="0" w:line="36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57" w:name="page58"/>
    <w:bookmarkEnd w:id="57"/>
    <w:p>
      <w:pPr>
        <w:ind w:left="660" w:firstLine="1292"/>
        <w:spacing w:after="0" w:line="282" w:lineRule="auto"/>
        <w:tabs>
          <w:tab w:leader="none" w:pos="23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or fail to maintain or perform any material obligations with respect to, any material Regulatory Authorizations;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(including manufacturing) or in commercial distribution, modify any specification for such Product unless such modification is mandated or required by a Governmental Body;</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w:t>
      </w:r>
    </w:p>
    <w:p>
      <w:pPr>
        <w:spacing w:after="0" w:line="17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(xxv) of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Agreement shall give to Parent or Merger Sub, directly or indirectly, any right to control or direct the operations of the Company prior to the Effective Time. Prior to the Effective Time, the Company shall exercise, consistent with the terms and conditions hereof, complete control and supervision of its operations and those of its Subsidiaries.</w:t>
      </w:r>
    </w:p>
    <w:p>
      <w:pPr>
        <w:spacing w:after="0" w:line="176" w:lineRule="exact"/>
        <w:rPr>
          <w:sz w:val="20"/>
          <w:szCs w:val="20"/>
          <w:color w:val="auto"/>
        </w:rPr>
      </w:pPr>
    </w:p>
    <w:p>
      <w:pPr>
        <w:ind w:left="660" w:right="280" w:firstLine="644"/>
        <w:spacing w:after="0" w:line="500" w:lineRule="auto"/>
        <w:tabs>
          <w:tab w:leader="none" w:pos="15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the Company shall comply with the actions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of the Company Disclosure Schedule. Section 5.3 </w:t>
      </w:r>
      <w:r>
        <w:rPr>
          <w:rFonts w:ascii="Times New Roman" w:cs="Times New Roman" w:eastAsia="Times New Roman" w:hAnsi="Times New Roman"/>
          <w:sz w:val="18"/>
          <w:szCs w:val="18"/>
          <w:u w:val="single" w:color="auto"/>
          <w:color w:val="auto"/>
        </w:rPr>
        <w:t>No Solicitation; Change in Recommendation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1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Company shall not, and shall cause the Company Subsidiaries not to, directly or indirectly, through any of its or their Representatives or otherwise, and shall not permit or authorize any such Person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both"/>
        <w:ind w:left="840" w:firstLine="640"/>
        <w:spacing w:after="0" w:line="258" w:lineRule="auto"/>
        <w:tabs>
          <w:tab w:leader="none" w:pos="179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knowingly assist, initiate, knowingly encourage, or otherwise knowingly facilitate (including by way of furnishing or providing copies of, access to, or disclosure of, any confidential or non-public information, properties, facilities, books or records of the Company or any Company Subsidiary or entering into any form of agreement, arrangement or understanding) any inquiry, proposal, discussion, negotiation, or offer that constitutes or may reasonably be expected to constitute or lead to, a Company Alternative Transaction;</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initiate, solicit, knowingly encourage, engage, knowingly assist, or participate in or knowingly facilitate (including by the furnishing any confidential or non-public information of the Company or any of its Subsidiaries) any discussions or negotiations with any Person (other than with Parent, Merger Sub, each of their Representatives or any Person acting jointly or in concert with Parent or Merger Sub) regarding any inquiry, proposal or offer that constitutes or may reasonably be expected to constitute or lead to, a Company Alternative Transaction;</w:t>
      </w:r>
    </w:p>
    <w:p>
      <w:pPr>
        <w:spacing w:after="0" w:line="183"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8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publicly propose to enter into, any agreement, letter of intent, agreement in principle, understanding or arrangement in respect of a Company Alternative Transaction other than a confidentiality and standstill agreement permitted by and in accordance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760" w:hanging="280"/>
        <w:spacing w:after="0"/>
        <w:tabs>
          <w:tab w:leader="none" w:pos="17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or publicly announce any intention to do any of the foregoing.</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10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the Company’s Subsidiaries and its and their respective Affiliates and Representatives to, immediately cease and terminate, any solicitation, encouragement, discussion, activity or negotiation commenced prior to the date of this Agreement with any Person and such Person’s Representatives (other than with Parent, Merger Sub or each of their Representatives) with respect to any inquiry, proposal, discussion, negotiation, or offer that constitutes, or may reasonably be expected to constitute or lead to, a Company Alternative Transaction, and in connection therewith, the Company will:</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9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discontinue access to and disclosure of all information, including (x) any physical or electronic data room access for such Persons and their Representatives to diligence or other information regarding the Company or any of its Subsidiaries or any of their businesses or assets and (y) any access to the properties, facilities, books and records of the Company or of any Company Subsidiaries; and</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9" w:name="page60"/>
    <w:bookmarkEnd w:id="59"/>
    <w:p>
      <w:pPr>
        <w:jc w:val="both"/>
        <w:ind w:left="1960" w:firstLine="640"/>
        <w:spacing w:after="0" w:line="261" w:lineRule="auto"/>
        <w:tabs>
          <w:tab w:leader="none" w:pos="2920" w:val="left"/>
        </w:tabs>
        <w:numPr>
          <w:ilvl w:val="3"/>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of the date hereof, request the prompt return or destruction of all copies of any confidential information regarding the Company or any Company Subsidiary provided to any Person (other than Parent, Merger Sub, and each of their Representatives) since January 1, 2025 that entered into a confidentiality agreement with the Company relating to a potential Company Alternative Transaction.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29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the Company covenants and agrees that it shall (A) take all necessary action to enforce any confidentiality, standstill, non-disclosure, non-solicitation, or similar agreement, covenant, or restriction entered into in connection with any Company Alternative Transaction to which the Company or any Company Subsidiary is a party or may hereafter become a party in accordance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release any Person from, or waive, amend, release, assign, suspend or otherwise modify any Person’s obligations respecting the Company, or any Company Subsidiary, under any confidentiality, standstill, non-disclosure, non-solicitation, or similar agreement, covenant, or restriction entered into in connection with any Company Alternative Transaction to which the Company or any Company Subsidiary is a party (it being acknowledged by Parent and Merger Sub that the automatic termination or release of any standstill restrictions of any such agreements as a result of the entering into an announcement of this Agreement shall not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Company shall be permitted to terminate, amend or otherwise modify, waive or fail to enforce any such “standstill,” provision or agreement if the Company Board determines in good faith, after consultation with its outside legal counsel, that the failure to take such action would be inconsistent with its fiduciary duties under applicable Law.</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Proposals</w:t>
      </w:r>
      <w:r>
        <w:rPr>
          <w:rFonts w:ascii="Times New Roman" w:cs="Times New Roman" w:eastAsia="Times New Roman" w:hAnsi="Times New Roman"/>
          <w:sz w:val="18"/>
          <w:szCs w:val="18"/>
          <w:color w:val="auto"/>
        </w:rPr>
        <w:t xml:space="preserve">. If the Company or any of the Company Subsidiaries or any of its or their respective Affiliates or Representatives receives or otherwise become aware of any written or oral inquiry, proposal, request for information or offer that constitutes, contemplates or may reasonably be expected to constitute or lead to a Company Alternative Transaction, or any request for copies of, or disclosure of, confidential information relating to the Company or any Subsidiary in relation to a possible Company Alternative Transaction, the Company shall promptly notify Parent and Parent’s counsel, at first orally, and then within twenty-four (24) hours, in writing, of such inquiry, proposal, offer or request, a description of the material terms and conditions and the identity of all Persons making any oral inquiry, proposal, offer or request and a copy of any written proposal or offer, or, if applicable, the proposed definitive agreement and all ancillary documentation, in respect of a potential Company Alternative Transaction. The Company shall keep Parent promptly and fully informed on a reasonably current basis of the status, the terms of any discussions or negotiations (to the extent such discussions and negotiations are permitted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and any developments and discussions relating to any such inquiry, proposal, offer or request (including any financing commitments related thereto), including any changes, modifications or other amendments to or relating to any such inquiry, proposal, offer or request and promptly provide to Parent a copy of any written proposal or offer, or, if applicable, the proposed definitive agreement and all ancillary documentation, with respect to such Company Alternative Transaction (or, where such proposal or offer is not in writing, a description of the terms of such correspondence between the Company and its Representatives and the Person making any such inquiry, proposal, offer or request and its Representatives).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firstLine="1304"/>
        <w:spacing w:after="0" w:line="252" w:lineRule="auto"/>
        <w:tabs>
          <w:tab w:leader="none" w:pos="1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Responding to Proposals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if, at any time prior to obtaining the Required Company Stockholder Approval,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proposal, the consummation of which would constitute a Company Alternative Transaction, that did not result, directly or indirectly, from any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any other provision of this Agreement or the Confidentiality Agreement, but subject to entering into a confidentiality agreement with such Person containing terms that are not less favorable to the Company in the aggregate than those contained in the Confidentiality Agreement (it being understood that such confidentiality agreement must not contain any provision or term that would restrict, in any manner, the Company’s ability to consummate the Transactions or comply with its disclosure obligations to Parent pursuant to this Agreement), a final executed copy of which shall be provided to Parent prior to providing such Person with any such copies, access or disclosure, the Company and its Representatives may (x) engage in or participate in discussions or negotiations with such Person regarding such proposal and (y) provide copies of, access to or disclosure of information, properties, facilities, books or records of the Company or its Subsidiaries (and any such copies, access or disclosure provided to such Person shall have already been (or simultaneously be) provided to Parent and its Representatives), if and only if, in the case of both clauses (x) and (y), (i) the Company Board first determines in good faith, after consultation with its outside financial advisor(s) and outside legal counsel, that such proposal constitutes or would reasonably be expected to constitute or lead to a Superior Proposal and (ii) that the failure to take such actions would be inconsistent with its fiduciary duties under applicable Law; and the Company has been, and continues to be, in compliance (1) with its obligations under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in all respects, and (2) with its obligations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in all material respects.</w:t>
      </w:r>
    </w:p>
    <w:p>
      <w:pPr>
        <w:spacing w:after="0" w:line="19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Recommendation; Right to Match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17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receives a Superior Proposal that did not result from a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(other than any such breach that is de minimis and unintentional), prior to obtaining the Required Company Voting Stockholder Approval, the Company Board may make a Change in Recommendation or terminate this Agreement to immediately thereafter enter into a definitive agreement with respect to such Superior Proposal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if and only if:</w:t>
      </w:r>
    </w:p>
    <w:p>
      <w:pPr>
        <w:spacing w:after="0" w:line="179" w:lineRule="exact"/>
        <w:rPr>
          <w:rFonts w:ascii="Times New Roman" w:cs="Times New Roman" w:eastAsia="Times New Roman" w:hAnsi="Times New Roman"/>
          <w:sz w:val="18"/>
          <w:szCs w:val="18"/>
          <w:color w:val="auto"/>
        </w:rPr>
      </w:pPr>
    </w:p>
    <w:p>
      <w:pPr>
        <w:ind w:left="1960" w:firstLine="640"/>
        <w:spacing w:after="0" w:line="282" w:lineRule="auto"/>
        <w:tabs>
          <w:tab w:leader="none" w:pos="290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delivered to Parent a written notice of the determination of the Company Board that such proposal constitutes a Superior Proposal (the “</w:t>
      </w:r>
      <w:r>
        <w:rPr>
          <w:rFonts w:ascii="Times New Roman" w:cs="Times New Roman" w:eastAsia="Times New Roman" w:hAnsi="Times New Roman"/>
          <w:sz w:val="18"/>
          <w:szCs w:val="18"/>
          <w:b w:val="1"/>
          <w:bCs w:val="1"/>
          <w:i w:val="1"/>
          <w:iCs w:val="1"/>
          <w:color w:val="auto"/>
        </w:rPr>
        <w:t>Superior Proposal Notice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56" w:lineRule="auto"/>
        <w:tabs>
          <w:tab w:leader="none" w:pos="289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provided to Parent a copy of the proposed definitive agreements for the Superior Proposal (which shall include all schedules, appendices, exhibits and other attachments related thereto, if any, including copies of any financing commitments related thereto) and all ancillary documentation (including any financing documents subject to customary confidentiality provisions) and any other material documents or material correspondences, as well as any subsequent amendment or modification with respect to any of the foregoing, provided to or by the Company, and Company Subsidiary or their respective Affiliates and Representatives in connection therewith;</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left="840" w:firstLine="640"/>
        <w:spacing w:after="0" w:line="259" w:lineRule="auto"/>
        <w:tabs>
          <w:tab w:leader="none" w:pos="177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(the “</w:t>
      </w:r>
      <w:r>
        <w:rPr>
          <w:rFonts w:ascii="Times New Roman" w:cs="Times New Roman" w:eastAsia="Times New Roman" w:hAnsi="Times New Roman"/>
          <w:sz w:val="18"/>
          <w:szCs w:val="18"/>
          <w:b w:val="1"/>
          <w:bCs w:val="1"/>
          <w:i w:val="1"/>
          <w:iCs w:val="1"/>
          <w:color w:val="auto"/>
        </w:rPr>
        <w:t>Matching Period</w:t>
      </w:r>
      <w:r>
        <w:rPr>
          <w:rFonts w:ascii="Times New Roman" w:cs="Times New Roman" w:eastAsia="Times New Roman" w:hAnsi="Times New Roman"/>
          <w:sz w:val="18"/>
          <w:szCs w:val="18"/>
          <w:color w:val="auto"/>
        </w:rPr>
        <w:t xml:space="preserve">”) have elapsed from the date that is the later of the date on which Parent received the Superior Proposal Notice and the date on which Parent received a copy of all the materials referred to in </w:t>
      </w:r>
      <w:r>
        <w:rPr>
          <w:rFonts w:ascii="Times New Roman" w:cs="Times New Roman" w:eastAsia="Times New Roman" w:hAnsi="Times New Roman"/>
          <w:sz w:val="18"/>
          <w:szCs w:val="18"/>
          <w:u w:val="single" w:color="auto"/>
          <w:color w:val="auto"/>
        </w:rPr>
        <w:t>Section 5.3(d)(i)(B)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subsequent amendment or modification with respect to any such materials, the Matching Period shall end on the later of the expiration of such five (5) business day period and two (2) business days after Parent received such amended or modified materials;</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9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Matching Period, the Company shall, and shall cause its Representatives to, if requested by Parent, negotiate and consider in good faith with Parent and its Representatives, any revision to the terms of the Transactions proposed by Parent in order for such proposal to cease to be a Superior Proposal; and</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6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Matching Period, the Company Board has determined in good faith (x) after consultation with its outside financial advisor(s) and outside legal counsel, that such proposal continues to constitute a Superior Proposal (and, if applicable, compared to the terms of the Transactions as proposed to be amended by Parent under </w:t>
      </w:r>
      <w:r>
        <w:rPr>
          <w:rFonts w:ascii="Times New Roman" w:cs="Times New Roman" w:eastAsia="Times New Roman" w:hAnsi="Times New Roman"/>
          <w:sz w:val="18"/>
          <w:szCs w:val="18"/>
          <w:u w:val="single" w:color="auto"/>
          <w:color w:val="auto"/>
        </w:rPr>
        <w:t>Section 5.3(d)(iii)</w:t>
      </w:r>
      <w:r>
        <w:rPr>
          <w:rFonts w:ascii="Times New Roman" w:cs="Times New Roman" w:eastAsia="Times New Roman" w:hAnsi="Times New Roman"/>
          <w:sz w:val="18"/>
          <w:szCs w:val="18"/>
          <w:color w:val="auto"/>
        </w:rPr>
        <w:t>) and (y) after consultation with its outside financial advisors and outside legal counsel, that the failure to take the relevant action would be inconsistent with its fiduciary duties under applicable Law; and</w:t>
      </w:r>
    </w:p>
    <w:p>
      <w:pPr>
        <w:spacing w:after="0" w:line="183" w:lineRule="exact"/>
        <w:rPr>
          <w:rFonts w:ascii="Times New Roman" w:cs="Times New Roman" w:eastAsia="Times New Roman" w:hAnsi="Times New Roman"/>
          <w:sz w:val="18"/>
          <w:szCs w:val="18"/>
          <w:color w:val="auto"/>
        </w:rPr>
      </w:pPr>
    </w:p>
    <w:p>
      <w:pPr>
        <w:ind w:left="840" w:firstLine="640"/>
        <w:spacing w:after="0" w:line="282" w:lineRule="auto"/>
        <w:tabs>
          <w:tab w:leader="none" w:pos="17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the proposal constituting a Superior Proposal did not result, directly or indirectly, from any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the Confidentiality Agreement.</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10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Company Alternative Transaction, the Company may make a Change in Recommendation in response to a Change in Circumstance, if and only if:</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delivered to Parent a written notice that (x) the Company Board has determined, in its good faith judgment, after consultation with outside financial advisor(s) and outside legal counsel, that the failure to make a Change in Recommendation would be inconsistent with its fiduciary duties under applicable Law and (y) describes the Change in Circumstance in reasonable detail (the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2" w:name="page63"/>
    <w:bookmarkEnd w:id="62"/>
    <w:p>
      <w:pPr>
        <w:ind w:left="840" w:firstLine="640"/>
        <w:spacing w:after="0" w:line="286" w:lineRule="auto"/>
        <w:tabs>
          <w:tab w:leader="none" w:pos="178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(the “</w:t>
      </w:r>
      <w:r>
        <w:rPr>
          <w:rFonts w:ascii="Times New Roman" w:cs="Times New Roman" w:eastAsia="Times New Roman" w:hAnsi="Times New Roman"/>
          <w:sz w:val="18"/>
          <w:szCs w:val="18"/>
          <w:b w:val="1"/>
          <w:bCs w:val="1"/>
          <w:i w:val="1"/>
          <w:iCs w:val="1"/>
          <w:color w:val="auto"/>
        </w:rPr>
        <w:t>Change in Circumstance Matching Period</w:t>
      </w:r>
      <w:r>
        <w:rPr>
          <w:rFonts w:ascii="Times New Roman" w:cs="Times New Roman" w:eastAsia="Times New Roman" w:hAnsi="Times New Roman"/>
          <w:sz w:val="18"/>
          <w:szCs w:val="18"/>
          <w:color w:val="auto"/>
        </w:rPr>
        <w:t>”) have elapsed from the date on which Parent received the Determination Notice;</w:t>
      </w:r>
    </w:p>
    <w:p>
      <w:pPr>
        <w:spacing w:after="0" w:line="158"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Change in Circumstance Matching Period, the Company shall, and shall cause its Representatives to, if requested by Parent, negotiate and consider in good faith with Parent and its Representatives, any revision to the terms of the Transactions proposed by Parent in order for the failure to make such a Change in Recommendation to no longer be inconsistent with its fiduciary duties under applicable Law; and</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82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Change in Circumstance Matching Period, the Company Board has determined in good faith after consultation with its outside financial advisor(s) and outside legal counsel, that failure to make a Change in Recommendation would still be inconsistent with its fiduciary duties under applicable Law.</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Board determines that any alternative proposal would cease to be a Superior Proposal by virtue of the revisions proposed by Parent, the Company shall promptly (and in any event within twenty-four (24) hours of such determination) so advise Parent, and the Company and Parent shall amend this Agreement to reflect such offer made by Parent and shall take and cause to be taken all such actions as are necessary to give effect to the foregoing.</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successive (A) amendment to any proposal that results in an increase in, or modification of, the consideration (or value of such consideration) to be received by the Company’s stockholders or other material terms or conditions thereof or (B) change in material facts and circumstances relating to the Change in Circumstance shall constitute a new proposal or Change in Circumstance (as applicable) for the purposes of this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and the Company shall deliver a new Superior Proposal Notice for the new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be afforded only a three (3) business day Matching Period or Change in Circumstances Matching Period (as applicable) from (x) in the case of a Superior Proposal, the later of the date on which Parent received the Superior Proposal Notice for the new Superior Proposal and the date on which Parent received all of the materials referred to in </w:t>
      </w:r>
      <w:r>
        <w:rPr>
          <w:rFonts w:ascii="Times New Roman" w:cs="Times New Roman" w:eastAsia="Times New Roman" w:hAnsi="Times New Roman"/>
          <w:sz w:val="18"/>
          <w:szCs w:val="18"/>
          <w:u w:val="single" w:color="auto"/>
          <w:color w:val="auto"/>
        </w:rPr>
        <w:t>Section 5.3(d)(i)(B))</w:t>
      </w:r>
      <w:r>
        <w:rPr>
          <w:rFonts w:ascii="Times New Roman" w:cs="Times New Roman" w:eastAsia="Times New Roman" w:hAnsi="Times New Roman"/>
          <w:sz w:val="18"/>
          <w:szCs w:val="18"/>
          <w:color w:val="auto"/>
        </w:rPr>
        <w:t xml:space="preserve"> with respect to such new Superior Proposal and (y) in the case of a Change in Circumstance, the date on which Parent received the Determination Notice for the new Change in Circumstance.</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1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promptly (and in any event within twenty-four (24) hours) reaffirm the Company Board Recommendation without qualification by press release after any proposal regarding a Company Alternative Transaction which is determined not to be a Superior Proposal is publicly announced or publicly disclosed or the Company Board determines that a proposed amendment to the terms of this Agreement or the Transactions as contemplated under </w:t>
      </w:r>
      <w:r>
        <w:rPr>
          <w:rFonts w:ascii="Times New Roman" w:cs="Times New Roman" w:eastAsia="Times New Roman" w:hAnsi="Times New Roman"/>
          <w:sz w:val="18"/>
          <w:szCs w:val="18"/>
          <w:u w:val="single" w:color="auto"/>
          <w:color w:val="auto"/>
        </w:rPr>
        <w:t>Section 5.3(d)(iii)</w:t>
      </w:r>
      <w:r>
        <w:rPr>
          <w:rFonts w:ascii="Times New Roman" w:cs="Times New Roman" w:eastAsia="Times New Roman" w:hAnsi="Times New Roman"/>
          <w:sz w:val="18"/>
          <w:szCs w:val="18"/>
          <w:color w:val="auto"/>
        </w:rPr>
        <w:t xml:space="preserve"> would result in such a proposal no longer being a Superior Proposal. The Company shall provide Parent and its Representatives with a reasonable opportunity to review the form and content of any such press release and shall reasonably consider amendments to such press release as reasonably requested by Parent and its outside legal counsel.</w:t>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3" w:name="page64"/>
    <w:bookmarkEnd w:id="63"/>
    <w:p>
      <w:pPr>
        <w:jc w:val="both"/>
        <w:ind w:left="660" w:firstLine="1292"/>
        <w:spacing w:after="0" w:line="258" w:lineRule="auto"/>
        <w:tabs>
          <w:tab w:leader="none" w:pos="226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provides a Superior Proposal Notice or Determination Notice to Parent on a date that is less than ten (10) business days before the Company Stockholders’ Meeting, the Company shall either proceed with or shall postpone the Company Stockholders’ Meeting, as directed by Parent acting reasonably, to a date determined by Parent that is not more than ten (10) business days after the scheduled date of the Company Stockholders’ Meeting but in any event the Company Stockholders’ Meeting shall not be postponed to a date which would prevent the Effective Time from occurring on or prior to the End Date.</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9" w:lineRule="auto"/>
        <w:tabs>
          <w:tab w:leader="none" w:pos="231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or elsewhere in this Agreement shall prohibit the Company from (A) taking and disclosing to the Company’s stockholders a position contemplated by Rule 14e-2(a) promulgated under the Exchange Act or making a statement contemplated by Item 1012(a) of Regulation M-A or Rule 14d-9(f) promulgated under the Exchange Act, or from issuing a “stop, look and listen” statement pending disclosure of its position thereunder; or (B) making any disclosure to the Company’s stockholders that the Company Board has reasonably determined in good faith in consultation with outside legal counsel is required by applicable Securities Laws;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this </w:t>
      </w:r>
      <w:r>
        <w:rPr>
          <w:rFonts w:ascii="Times New Roman" w:cs="Times New Roman" w:eastAsia="Times New Roman" w:hAnsi="Times New Roman"/>
          <w:sz w:val="17"/>
          <w:szCs w:val="17"/>
          <w:u w:val="single" w:color="auto"/>
          <w:color w:val="auto"/>
        </w:rPr>
        <w:t>Section 5.3(d)</w:t>
      </w:r>
    </w:p>
    <w:p>
      <w:pPr>
        <w:spacing w:after="0" w:line="2" w:lineRule="exact"/>
        <w:rPr>
          <w:rFonts w:ascii="Times New Roman" w:cs="Times New Roman" w:eastAsia="Times New Roman" w:hAnsi="Times New Roman"/>
          <w:sz w:val="17"/>
          <w:szCs w:val="17"/>
          <w:color w:val="auto"/>
        </w:rPr>
      </w:pPr>
    </w:p>
    <w:p>
      <w:pPr>
        <w:jc w:val="both"/>
        <w:ind w:left="660" w:hanging="4"/>
        <w:spacing w:after="0" w:line="253" w:lineRule="auto"/>
        <w:tabs>
          <w:tab w:leader="none" w:pos="1022"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not permit the Company Board to make a Change in Recommendation except to the extent permitted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(y) in each case that, notwithstanding that the Company Board shall be permitted to make such disclosure, the Company Board shall not be permitted to make a Change in Recommendation solely as a result of such disclosure. Any public disclosure made by or on behalf of the Company relating to any Company Alternative Transaction shall state that the Company Board Recommendation continues to be in effect, unless, prior to the time of such public disclosure, this Agreement has been terminated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u w:val="single" w:color="auto"/>
          <w:color w:val="auto"/>
        </w:rPr>
      </w:pPr>
    </w:p>
    <w:p>
      <w:pPr>
        <w:jc w:val="both"/>
        <w:ind w:left="660" w:firstLine="1292"/>
        <w:spacing w:after="0" w:line="266" w:lineRule="auto"/>
        <w:tabs>
          <w:tab w:leader="none" w:pos="24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the Company shall advise its Subsidiaries and its and their Representatives of the prohibitions set out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any violation of the restrictions set forth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its Subsidiaries or its or their Representatives will be deemed to be a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Written Consent; Preparation of Proxy Statement and the Company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Written Consent, the Company shall take all actions necessary or advisable to comply, and shall comply in all respects, with applicable Law and the Company’s Organizational Documents.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firstLine="1304"/>
        <w:spacing w:after="0" w:line="255"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of this Agreement and in any event within fourteen (14) calendar days after the date of this Agreement, the Company shall prepare, and file with the SEC, the Proxy Statement. The Company shall promptly notify Parent upon the receipt of any oral or written comments from the SEC or its staff or any request from the SEC or its staff for amendments or supplements to the Proxy Statement and shall provide Parent with copies of all written correspondence and a summary of all oral communications between it, on the one hand, and the SEC and its staff, on the other hand, relating to the Proxy Statement. The Company shall cooperate with and provide Parent with a reasonable opportunity to review and comment on the Proxy Statement and any substantive correspondence (including responses to SEC comments), amendments or supplements to the Proxy Statement prior to filing with the SEC, consider such comments in good faith, and shall provide to Parent a copy of all such filings made with the SEC.</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all reasonable efforts to have the Proxy Statement be cleared by the SEC and its staff under the Exchange Act as promptly as practicable after such filing. The Proxy Statement will contain such information and disclosure reasonably required so that the Proxy Statement conforms in form and substance to the requirements of the Exchange Act. The Company shall use its reasonable best efforts to cause the Proxy Statement to be mailed to holders of Company Common Stock as promptly as practicable and in any event within two (2) business days after (i) the Proxy Statement is cleared by the SEC or (ii) the date that is ten (10) calendar days after filing the Proxy Statement in preliminary form if, prior to such date, the SEC does not provide comments or indicates that it does not plan to provide comments.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Effective Time there shall occur any event (i) with respect to the Acquired Companies, or with respect to information supplied by Company for inclusion in the Proxy Statement, or (ii) with respect to Guarantor or Parent, or with respect to information supplied by Parent for inclusion in the Proxy Statement, in either case, which event is required to be described in an amendment of or a supplement to the Proxy Statement, such event shall be so described, and such amendment or supplement shall be promptly filed with the SEC and, as required by Law, disseminated to the stockholders of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Agreement and as promptly as practicable after the Proxy Statement is cleared by the SEC or the date that is ten (10) calendar days after filing the Proxy Statement in preliminary form if, prior to such date, the SEC does not provide comments or indicates that it does not plan to provide comments, the Company shall (i) take all action required by the DGCL and the Company’s certificate of incorporation and bylaws to duly call, give notice of, convene, and hold a meeting of its holders of Company Voting Common Stock promptly following the mailing of the Proxy Statement but in any event within twenty (20) business days (or such other time as otherwise required to comply with applicable Law, as requested by the SEC or its staff, or as the Company and Parent otherwise agree) (the “</w:t>
      </w:r>
      <w:r>
        <w:rPr>
          <w:rFonts w:ascii="Times New Roman" w:cs="Times New Roman" w:eastAsia="Times New Roman" w:hAnsi="Times New Roman"/>
          <w:sz w:val="18"/>
          <w:szCs w:val="18"/>
          <w:b w:val="1"/>
          <w:bCs w:val="1"/>
          <w:i w:val="1"/>
          <w:iCs w:val="1"/>
          <w:color w:val="auto"/>
        </w:rPr>
        <w:t>Company Stockholders’ Meeting</w:t>
      </w:r>
      <w:r>
        <w:rPr>
          <w:rFonts w:ascii="Times New Roman" w:cs="Times New Roman" w:eastAsia="Times New Roman" w:hAnsi="Times New Roman"/>
          <w:sz w:val="18"/>
          <w:szCs w:val="18"/>
          <w:color w:val="auto"/>
        </w:rPr>
        <w:t>”)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this Agreement. Notwithstanding anything to the contrary in this Agreement, (x) the Company may adjourn, recess, or postpone, and at the request of Parent it shall adjourn, recess, or postpone, the Company Stockholders’ Meeting for a reasonable period to solicit additional proxies, if the Company or Parent, respectively, reasonably believes there will be insufficient Shares represented (either in person or by proxy) to constitute a quorum necessary to obtain the Required Company Voting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agreed in writing by the Company and Parent, all such adjournments, recesses or postponements shall be for periods of no more than ten (10) business days each) and (y) the Company may adjourn, recess, or postpone the Company Stockholders’ Meeting if (I) the Company is required to do so by applicable Law or order or request from the SEC or its staff, (II) subject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the Company has notified Parent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that the Company Board intends to make a Change in Recommendation and the applicable notice period thereunder will not have expired prior to the then-scheduled date and time of the Company Stockholders’ Meeting or (III) the Company Board has determined in good faith (after consultation with outside legal counsel) that such adjournment, recess or postponement is necessary to ensure that Company stockholders have sufficient time to evaluate any information or disclosure that the Company has sent or otherwise made available (including by issuing a press release, filing materials with the SEC or otherwise) to the Company’s stockholders in advance of the Company Stockholders’ Meeting.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1304"/>
        <w:spacing w:after="0" w:line="256" w:lineRule="auto"/>
        <w:tabs>
          <w:tab w:leader="none" w:pos="15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establish the earliest practicable record date for the Company Stockholders’ Meeting and commence broker searches at least twenty (20) days prior thereto (or such shorter period as the SEC or its staff confirms is acceptable or otherwise as is consistent with SEC guidance) pursuant to Section 14a-13 of the Exchange Act in connection therewith, subject to compliance with the DGCL, the Exchange Act, and any rule or regulation of NASDAQ Global Markets. In no event will such record date be changed without Parent’s prior written consent (such consent not to be unreasonably delayed, conditioned or withheld) other than in connection with an adjournment, recess, postponement to the Company Stockholders’ Meeting taken or made in compliance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provide the Company with such information concerning itself, Guarantor, Merger Sub and their Affiliates as is customarily included in a proxy statement prepared in connection with a transaction of the type contemplated by this Agreement or as otherwise required by Laws, requested by the SEC or its staff, or as the Company may reasonably request, in each case, sufficiently in advance of the mailing of the Proxy Statement to be included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each of the Parties shall,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or Foreign Direct Investment Laws to consummate and make effective the Transactions as promptly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 Legal Proceeding by, any Governmental Body in connection with any Antitrust Law or Foreign Direct Investment Law, (ii) the giving of all required notices to third parties, and (iii) the execution and delivery of any additional instrument reasonably necessary to consummate the Transactions. Prior to the Effective Time, the Company will use commercially reasonable efforts to obtain any consents, approvals, or waivers of third parties with respect to any Company Contracts to which it is a party as may be necessary for the consummation of the Transactions or required by the terms of any Company Contract as a result of the execution, performance, or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Company or any Company Subsidiary be required to pay, prior to the Effective Time, any fee, penalty, or other consideration (other than any such fee, penalty or other consideration that Parent advances to the Company) or make any other accommodation to any third party to obtain any consent, approval, or waiver required with respect to any such Company Contract unless such consent, approval, or waiver is conditioned upon and effective only following the occurrence of the Closing;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consent, approval, or waiver shall be agreed without Parent’s prior written consent.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1304"/>
        <w:spacing w:after="0" w:line="253" w:lineRule="auto"/>
        <w:tabs>
          <w:tab w:leader="none" w:pos="1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including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 no event shall Guarantor, Merger Sub or any of their respective Affiliates or Subsidiaries be obligated to undertake or commit or agree to undertake (and the Company may not request or propose that Guarantor, Merger Sub or any of their respective Affiliates or Subsidiaries take) any of the following actions: (A) negotiating, committing to, and effecting, by consent decree, hold separate order, or otherwise, the sale, lease, license, divestiture, or disposition of any asset, right, product or product line (including any Product), or business of the Company, Guarantor, or any of their respective Affiliates, (B) terminating any existing relationship, contractual right, or obligation of the Company, Guarantor, or any of their respective Affiliates, (C) terminating any venture or other arrangement, (D) creating any relationship, contractual right, or obligation of the Company, Guarantor, or any of their respective Affiliates, (E) effectuating any other change or restructuring of the Company, Guarantor, or any of their respective Affiliates, (F) undertaking or agreeing to (or requesting or authorizing the Company or any of its Subsidiaries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the Company, Guarantor, or any of their respective Affiliates, and (H) any sale, divestiture, disposition or other remedial measure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each Party shall (and shall cause their respective Affiliates, if applicable, to) (i) as promptly as reasonably practicable, but in no event later than ten (10) business days after the date of this Agreement (unless Parent and the Company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such Party under Antitrust Laws or Foreign Direct Investment Laws in those jurisdictions identified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of the Company Disclosure Schedule, which contains the list of the only jurisdictions where filing, notification, expiration of a waiting period, or consent or approval is a condition to Closing,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The Company and Parent shall request early termination of any applicable waiting or review periods under the Antitrust Laws and Foreign Direct Investment Laws (if available). If, prior to the Effective Time, either (A) the U.K. Competition and Markets Authority (the “</w:t>
      </w:r>
      <w:r>
        <w:rPr>
          <w:rFonts w:ascii="Times New Roman" w:cs="Times New Roman" w:eastAsia="Times New Roman" w:hAnsi="Times New Roman"/>
          <w:sz w:val="18"/>
          <w:szCs w:val="18"/>
          <w:b w:val="1"/>
          <w:bCs w:val="1"/>
          <w:i w:val="1"/>
          <w:iCs w:val="1"/>
          <w:color w:val="auto"/>
        </w:rPr>
        <w:t>CMA</w:t>
      </w:r>
      <w:r>
        <w:rPr>
          <w:rFonts w:ascii="Times New Roman" w:cs="Times New Roman" w:eastAsia="Times New Roman" w:hAnsi="Times New Roman"/>
          <w:sz w:val="18"/>
          <w:szCs w:val="18"/>
          <w:color w:val="auto"/>
        </w:rPr>
        <w:t>”) indicates in writing to Guarantor that it has decided to formally investigate the Merger and, accordingly, requests Guarantor to submit a merger notice in the form prescribed under the U.K. Enterprise Act 2002 or (B) the European Commission (the “</w:t>
      </w:r>
      <w:r>
        <w:rPr>
          <w:rFonts w:ascii="Times New Roman" w:cs="Times New Roman" w:eastAsia="Times New Roman" w:hAnsi="Times New Roman"/>
          <w:sz w:val="18"/>
          <w:szCs w:val="18"/>
          <w:b w:val="1"/>
          <w:bCs w:val="1"/>
          <w:i w:val="1"/>
          <w:iCs w:val="1"/>
          <w:color w:val="auto"/>
        </w:rPr>
        <w:t>EC</w:t>
      </w:r>
      <w:r>
        <w:rPr>
          <w:rFonts w:ascii="Times New Roman" w:cs="Times New Roman" w:eastAsia="Times New Roman" w:hAnsi="Times New Roman"/>
          <w:sz w:val="18"/>
          <w:szCs w:val="18"/>
          <w:color w:val="auto"/>
        </w:rPr>
        <w:t xml:space="preserve">”) indicates in writing to Guarantor that a member state of the European Union has made a referral request of the Merger to the EC under Article 22 of the EU Merger Regulation, then Guarantor shall provide to the Company a copy of such written communication as promptly as practicable after its receipt or submission thereof, as applicable, and if such communication shall have been so provided, the CMA under the U.K. Enterprise Act of 2002 or the EC under Article 22 of the EU Merger Regulation, as the case may be, shall thereupon be deemed to be added to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1304"/>
        <w:spacing w:after="0" w:line="251" w:lineRule="auto"/>
        <w:tabs>
          <w:tab w:leader="none" w:pos="15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each Party shall use its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or address attorney-client or other privilege concerns and (B) to remove references to valuation of the Company or its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under the HSR Act, received by any Party or any of their respective Subsidiaries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so as to preserve any applicable privilege. All filing fees for any filing required under Antitrust Laws or Foreign Direct Investment Laws (if any) shall be paid by Guarantor.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1304"/>
        <w:spacing w:after="0" w:line="253"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after prior consultation in good faith with the Company, shall have the principal and sole responsibility for devising and implementing the strategy for obtaining any necessary clearances under the Antitrust Laws and Foreign Direct Investment Laws and shall control and take the lead in all meetings, communications and decisions (including any decision to pull and refile under any applicable Antitrust Laws or Foreign Direct Investment Laws) and communications with any Governmental Body in connection therewith. In furtherance of the foregoing, the Company shall use its reasonable best efforts to consult in advance with Guarantor, obtain Guarantor’s prior written consent (such consent may be withheld, conditioned or delayed in Guarantor’s sole discretion) and to address all of Guarantor’s views and comments prior to taking any substantive position with respect to (A) the filings under the HSR Act or required by any other Governmental Body under any applicable Antitrust Laws or Foreign Direct Investment Laws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submission or, to the extent practicable, any discussion with any Governmental Body in connection with obtaining any necessary clearance under the HSR Act or any other Antitrust Law or any Foreign Direct Investment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acknowledges that a “change in control,” “sale event” or term or concept of similar import within the meaning of the Employee Plans will occur at or prior to the Effective Time, as applicable. For a period of one (1) year following the Effective Time, Parent shall provide, or cause to be provided, to each natural person who is employed by the Company or any Company Subsidiary as of immediately prior to the Effective Time (including any such employee who is on disability or other approved leave) and who continues to be employed by the Surviving Corporation (or any Affiliate thereof) during such one (1)-year period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xml:space="preserve">”), while such Continuing Employee is employed by the Surviving Corporation (or any Affiliate thereof), with (i) an annual base salary (or base wages, as the case may be) and target annual cash incentive compensation opportunities (excluding retention, change in control, transaction, and equity-based compensation), that are, together, no less favorable in the aggregate than the annual base salary (or base wages, as the case may be) and target annual cash incentive compensation opportunities (excluding retention, change in control, transaction, and equity-based compensation) provided to such Continuing Employee as of the date hereof, provided that the annual base salary (or base wages, as the case may be) shall be no less than the annual base salary (or base wages, as the case may be) provided to such Continuing Employee as of the date hereof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hereof under the applicable Employee Plans or (y) those provided to similarly-situated employees of Guarantor and its Subsidiaries (subject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1304"/>
        <w:spacing w:after="0" w:line="219" w:lineRule="exact"/>
        <w:tabs>
          <w:tab w:leader="none" w:pos="15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provide each Continuing Employee with service credit for purposes of eligibility to participate and vesting and, with respect to severance, vacation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benefits only, level of benefits, under Guarantor’s employee benefit plans and arrangements (but excluding any plan that is an equity-based compensation plan, defined benefit pension plan, retiree health or welfare plan or employee benefit plan that is frozen or for which participation is intended to be limited to a grandfathered population) (a “</w:t>
      </w:r>
      <w:r>
        <w:rPr>
          <w:rFonts w:ascii="Times New Roman" w:cs="Times New Roman" w:eastAsia="Times New Roman" w:hAnsi="Times New Roman"/>
          <w:sz w:val="18"/>
          <w:szCs w:val="18"/>
          <w:b w:val="1"/>
          <w:bCs w:val="1"/>
          <w:i w:val="1"/>
          <w:iCs w:val="1"/>
          <w:color w:val="auto"/>
        </w:rPr>
        <w:t>Buyer Plan</w:t>
      </w:r>
      <w:r>
        <w:rPr>
          <w:rFonts w:ascii="Times New Roman" w:cs="Times New Roman" w:eastAsia="Times New Roman" w:hAnsi="Times New Roman"/>
          <w:sz w:val="18"/>
          <w:szCs w:val="18"/>
          <w:color w:val="auto"/>
        </w:rPr>
        <w:t xml:space="preserve">”) to the extent such Continuing Employee becomes eligible to participate in such Buyer Plan on or after the Closing Date and coverage under such Buyer Plan replaces coverage under a comparable Employee Plan in which such Continuing Employee participates immediately prior to the Closing Date, with respect to his or her length of service with the Company (and its predecessors) prior to the Closing Date (based on the date of engagement) to the extent such service was taken into account under the comparable Employee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result in the duplication of benefits under any such Buyer Plan.</w:t>
      </w:r>
    </w:p>
    <w:p>
      <w:pPr>
        <w:spacing w:after="0" w:line="19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each Buyer Plan that provides group health benefits to Continuing Employees eligible for such benefits after the Closing Date and replaces coverage under a corresponding Employee Plan, Parent shall use its commercially reasonable efforts to (i)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(ii) ensure that such Buyer Plan shall, for purposes of deductibles, co-payments, out-of-pocket maximums, and allowances, credit each Continuing Employee for amounts paid prior to the Effective Time with the Company (and its predecessors) to the same extent that such amounts paid was recognized prior to the Effective Time under the corresponding Employee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in writing at least ten (10) calendar days prior to the Closing Date, the Company and each Company Subsidiary shall adopt resolutions and take all such corporate action as is necessary to terminate each 401(k) plan maintained, sponsored or contributed to by the Company or any of the Company Subsidiaries (collectively, the “</w:t>
      </w:r>
      <w:r>
        <w:rPr>
          <w:rFonts w:ascii="Times New Roman" w:cs="Times New Roman" w:eastAsia="Times New Roman" w:hAnsi="Times New Roman"/>
          <w:sz w:val="18"/>
          <w:szCs w:val="18"/>
          <w:b w:val="1"/>
          <w:bCs w:val="1"/>
          <w:i w:val="1"/>
          <w:iCs w:val="1"/>
          <w:color w:val="auto"/>
        </w:rPr>
        <w:t>Company 401(k) Plans</w:t>
      </w:r>
      <w:r>
        <w:rPr>
          <w:rFonts w:ascii="Times New Roman" w:cs="Times New Roman" w:eastAsia="Times New Roman" w:hAnsi="Times New Roman"/>
          <w:sz w:val="18"/>
          <w:szCs w:val="18"/>
          <w:color w:val="auto"/>
        </w:rPr>
        <w:t>”), in each case, effective as of the day immediately prior to the Closing Date, and the Company shall provide Parent with evidence that such Company 401(k) Plans have been properly terminated, the form of such termination documents shall be subject to Parent’s review. Continuing Employees shall be entitled to effect a direct rollover of any eligible rollover distributions (as defined in Section 402(c)(4) of the Code), including plan loans, to such 401(k) plan maintained by Guarantor or its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are solely for the benefit of the Parties to this Agreement, no provision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Company Associate any right to continue in the employ or service of the Surviving Corporation, Guarantor, or any Subsidiary or Affiliate thereof, or shall interfere with or restrict in any way any right that the Surviving Corporation, Guarantor, or any Subsidiary or Affiliate thereof may have to discharge or terminate the services of any Company Associate at any time for any reason whatsoever, with or without cause, or to terminate or amend any benefit plan, program, agreement or arrangement sponsored or maintained by Guarantor or the Surviving Corporation or any of their respective Subsidiaries or Affiliates.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4" w:lineRule="auto"/>
        <w:tabs>
          <w:tab w:leader="none" w:pos="15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advancement of expenses, and exculpation by the Company existing (the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in favor of those Persons who are directors or officers of the Company as of the date of this Agreement or have been directors or officers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 the past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xml:space="preserve">”) for their acts and omissions occurring prior to the Effective Time, as provided in the Organizational Documents of the Company (as in effect as of the date of this Agreement) or in any indemnification agreements between the Company and said Indemnified Persons that was made available to Parent (as in effect as of the date of this Agreement) shall survive the Effective Time and shall not be amended, repealed, or otherwise modified in any manner that would adversely affect the rights thereunder of any Indemnified Person, and shall be observed and maintained by the Surviving Corporation and its Subsidiaries to the fullest extent available under applicable Law for a period of six (6) years from the Effective Time, and any claim made pursuant to such rights within such six-year period shall continue to be subject to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and the rights provided under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until disposition of such claim.</w:t>
      </w:r>
    </w:p>
    <w:p>
      <w:pPr>
        <w:spacing w:after="0" w:line="192"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until the six-year anniversary of the Closing Date, Parent and the Surviving Corporation (together with their successors and assigns, the “</w:t>
      </w: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xml:space="preserve">”) shall, to the fullest extent permitted under Law and the Company’s Organizational Documents in effect as of the date of this Agreement, indemnify and hold harmless each Indemnified Person in his or her capacity as an officer or director of the Company against all losses, claims, damages, liabilities, fees, expenses, judgments, or fines incurred by such Indemnified Person due to such Indemnified Person’s capacity as an officer or director of the Company in connection with any pending or threatened Legal Proceeding based on, arising out of, or relating to,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six-year anniversary of Closing Date, the Indemnifying Parties shall also, to the fullest extent permitted under applicable Law,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within twenty (20) business days after receipt by Parent of a written request for such advance,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or under applicable Law or the Company’s Organizational Documents or indemnification agreement at the time of this Agreement.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1304"/>
        <w:spacing w:after="0" w:line="25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Person wishing to claim indemnification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upon learning of any such Legal Proceeding, shall promptly notify Parent thereof in writing, but the failure to so notify shall not relieve Parent or the Company of any liability it may have to such Indemnified Person except to the extent such failure prejudices the Indemnifying Party. In the event of any Legal Proceeding: (i) Parent or the Company shall have the right to assume the defense thereof (it being understood that by electing to assume the defense thereof, neither Parent nor the Company will be deemed to have waived any right to object to the Indemnified Person’s entitlement to indemnification hereunder with respect thereto or assumed any liability with respect thereto), except that if Parent or the Company elects not to assume such defense or legal counsel for the Indemnified Person advises that there are issues which raise conflicts of interest between Parent or the Company and the Indemnified Person, the Indemnified Person may retain legal counsel satisfactory to them, and Parent or the Company shall pay all reasonable and documented fees and expenses of such legal counsel for the Indemnified Person promptly as statements therefor are received;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Parent and the Company shall be obligated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to pay for only one (1) firm of legal counsel for all Indemnified Persons in any jurisdiction unless the use of one (1) legal counsel for such Indemnified Persons would present such legal counsel with a conflict of interest (provided, that the fewest number of legal counsels necessary to avoid conflicts of interest shall be used); (ii) the Indemnified Persons shall cooperate in the defense of any such matter if Parent or the Company elects to assume such defense, and Parent and the Company shall cooperate in the defense of any such matter if Parent or the Company elects not to assume such defense;</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3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Persons shall not be liable for any settlement effected without their prior written consent (which consent shall not be unreasonably withheld, conditioned or delayed) if Parent or the Company elects to assume such defense and Parent and the Company shall not be liable for any settlement effected without their prior written consent (which consent shall not be unreasonably withheld, conditioned or delayed) if Parent or the Company elects not to assume such defense; (iv) Parent and the Company shall not have any obligation hereunder to any Indemnified Person if and when a court of competent jurisdiction shall ultimately determine, and such determination shall have become final, that the indemnified action of such Indemnified Person in the manner contemplated hereby is prohibited by applicable Law; and (v) all rights to indemnification in respect of any such Legal Proceedings shall continue until final disposition of all such Legal Proceedings.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“tail policy” is not obtained by the Company prior to the Effective Time, from the Effective Time until the six-year anniversary of the Closing Date, the Surviving Corporation shall, and Parent shall cause the Surviving Corporation to, maintain, in effect, the existing directors’ and officers’ and fiduciary liability insurance policies maintained by the Company as of the date of this Agreement for the benefit of the Company, the Company Subsidiaries and the Indemnified Persons who are currently covered by such existing policies with respect to their acts and omissions occurring prior to the Effective Time in their capacities as directors and officers of the Company (as applicable), on terms with respect to coverage, deductibles and amounts no less favorable than the existing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or prior to the Effective Time, the Company shall, through a nationally recognized insurance broker approved by Parent (such approval not to be unreasonably withheld, delayed, or conditioned), purchase a six-year “tail” policy for the existing policies effective as of the Effective Time and if an applicable “tail policy” has been obtained, it shall be deemed to satisfy all obligations to obtain and/or maintain insurance pursuant to this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Surviving Corporation be required to pay annual premiums (or premium for a “tail policy”) in excess of 300% of the annual premiums currently payable by the Company with respect to such current policies, it being understood that if the annual premiums payable for such insurance coverage exceeds such amount, Parent shall be obligated to cause the Company to obtain policies with the greatest coverage available for a cost equal to such amount.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1304"/>
        <w:spacing w:after="0" w:line="261" w:lineRule="auto"/>
        <w:tabs>
          <w:tab w:leader="none" w:pos="1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the Surviving Corporation or any of their respective legal successors or permitted assigns (i) consolidates with or merges into any other Person and shall not be the continuing or surviving Person of such consolidation or merger or (ii) transfers all or substantially all of its properties and assets to any Person or consummates any division transaction, then, and in each such case, proper provisions shall be made so that the legal successors and permitted assigns of Parent or the Surviving Corporation shall assume all of the obligations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survive the consummation of the Transactions and are (i) intended to be for the benefit of, and shall be enforceable by, each of the Indemnified Persons and their successors, assigns, and heirs and (ii) in addition to, and not in substitution for, any other right to indemnification, advancement, or contribution that any such Person may have by contract or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 to any directors’ and officers’, executive and corporate securities insurance claims under any policy that is or has been in existence with respect to the Company or any Company Subsidiary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is not prior to or in substitution for any such claim under such policies.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Securityholder Litigation</w:t>
      </w:r>
      <w:r>
        <w:rPr>
          <w:rFonts w:ascii="Times New Roman" w:cs="Times New Roman" w:eastAsia="Times New Roman" w:hAnsi="Times New Roman"/>
          <w:sz w:val="18"/>
          <w:szCs w:val="18"/>
          <w:color w:val="auto"/>
        </w:rPr>
        <w:t xml:space="preserve">. During the Pre-Closing Period, the Company shall, as promptly as possible after obtaining knowledge thereof, notify Parent of any Legal Proceeding brought by security holders of the Company (including holders of Company Common Stock) against the Company or its directors arising out of or relating to the Transactions and provide accurate and complete copies of all pleadings and correspondence relating to such Legal Proceedings. The Company shall control any such Legal Proceeding brought by security holders of the Company (including holders of Company Common Stock) against the Company or its directors arising out of or relating to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give Parent the opportunity to (i) participate in and consult with the Company with respect to any such Legal Proceeding and (ii) consult on any settlement, release, waiver or compromise of any such Legal Proceeding, and the Company shall in good faith take any comments into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disclosure of information in connection therewith shall be subject to the provisions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including with respect to attorney-client privilege or any other applicable legal privilege. No such settlement shall be agreed without Parent’s prior written consent (such consent not to be unreasonably withheld, conditioned, or delayed), except to the extent the settlement is fully covered by the Company’s insurance policies (other than any applicable deductible), but only if such settlement would not result in the imposition of any restriction on the business or operations of the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Without limitation or contravention of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subject to the terms and conditions of this Agreement, Parent and the Company shall use reasonable best efforts to take, or cause to be taken, all actions necessary to consummate the Transactions. Without limiting the generality of the foregoing, subject to the terms and conditions of this Agreement, each Party shall (a) make all filings (if any), give all notices (if any) and use commercially reasonable efforts to obtain all Consents (if any) required to be made or given by such Party in connection with the Transactions pursuant to any applicable Law or Material Contract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Company Disclosure Schedule, (b) use reasonable best efforts to lift any restraint, injunction or other legal bar (other than with respect to Antitrust Laws and Foreign Direct Investment Laws) to this Agreement or the Transactions brought by any third Person against such Party, and (c) not take any action, or refrain from taking any commercially reasonable action, or permitting any action to be taken or not taken, in each case, which is inconsistent with this Agreement or would reasonably be expected to prevent, materially delay or otherwise impede the consummation of the Transactions contemplated by this Agreement. For the avoidance of doubt, neither Party shall be required to (x) make any payment of a consent fee, “profit sharing” payment or other consideration (including increased or accelerated payments) or concede anything of monetary or economic value, (y) amend, supplement or otherwise modify any Contract or (z) agree or commit to do any of the foregoing, in each case, for the purposes of obtaining any Consent, nor shall making any such filing, giving any such notice or obtaining any such Consent be a condition precedent to any of Parent’s or Merger Sub’s obligations to consummate the Closing.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apply to approval under Antitrust Laws or Foreign Direct Investment Laws, which are the subject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Company shall give notice to Parent as promptly as reasonably practicable after (and shall subsequently keep Parent informed on a reasonably current basis of any developments related to such notice) it becomes aware of (i) the receipt of any notice from any Person alleging that the Consent of such Person is required in connection with any of the Transactions or (ii) that any Legal Proceeding has been commenced or threatened in writing relating to or involving the Company or any Company Subsidiary that relates to the consummation of the Transactions.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initial press release with respect to the Transactions shall be a joint press release. Thereafter, none of the Company, Guarantor, Parent or any of their Representatives acting on their behalf, shall, without the consent of the other Party (which consent shall not be unreasonably withheld, conditioned, or delayed) issue or cause the publication of any press release or otherwise make any public statement, disclosure, or communication with respect to the Transactions except as may be required by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(x) any disclosure or communication contemplated by or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Guarantor’s or Parent’s response thereto) or (y) any public statement, disclosure, or communication so long as such statement, disclosure, or communication is substantially similar in tone and substance with previous public statements, disclosures, or communications jointly made by the Company and Guarantor or Parent or to the extent that they have been reviewed and previously approved by both the Company on the one hand and Guarantor or Parent on the other hand and would not otherwise require the other Party to make additional public disclosure.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Takeover Law may become, may purport to be, or does become applicable to the Transactions, each of Parent, Merger Sub, and the Company and the members of their respective boards of directors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the Transactions.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The Company and the Company Board shall, to the extent necessary, take appropriate action, prior to or as of the Effective Time, to approve, for purposes of Section 16(b) of the Exchange Act, the disposition and cancellation or deemed disposition and cancellation of Shares and Company Equity Awards in the Transactions by applicable individuals and to cause such dispositions and/or cancellations to be exempt under Rule 16b-3 promulgated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Merger Sub Stockholder Consent</w:t>
      </w:r>
      <w:r>
        <w:rPr>
          <w:rFonts w:ascii="Times New Roman" w:cs="Times New Roman" w:eastAsia="Times New Roman" w:hAnsi="Times New Roman"/>
          <w:sz w:val="18"/>
          <w:szCs w:val="18"/>
          <w:color w:val="auto"/>
        </w:rPr>
        <w:t>. Parent shall, immediately following the execution and delivery of this Agreement, deliver or cause to be delivered the irrevocable written consent of the sole stockholder of Merger Sub adopting this Agreement in accordance with the DGCL and the organizational documents of Merger Sub.</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Prior to the Closing Date, the Company shall cooperate with Parent and use its reasonable best efforts to take or cause to be taken all actions, and do or cause to be done all things, reasonably necessary, proper, or advisable on its part under applicable Law to cause the delisting by the Surviving Corporation of the Company Common Stock from NASDAQ Global Markets and the deregistration of the Company Common Stock under the Exchange Act and any other applicable Securities Laws as promptly as practicable after the Effective Time, and in any event no more than ten (10) days after the Closing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the Company</w:t>
      </w:r>
      <w:r>
        <w:rPr>
          <w:rFonts w:ascii="Times New Roman" w:cs="Times New Roman" w:eastAsia="Times New Roman" w:hAnsi="Times New Roman"/>
          <w:sz w:val="18"/>
          <w:szCs w:val="18"/>
          <w:color w:val="auto"/>
        </w:rPr>
        <w:t xml:space="preserve">. The Company shall promptly notify (in reasonably sufficient detail) Parent of the occurrence of any event which would or would reasonably be expected to (i) prevent, materially delay or materially impair the ability of the Company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shall not (x) affect or be deemed to modify any representation, warranty, covenant, right, remedy, or condition to any obligation of the Company hereunder (other than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or (y) update any section of the Company Disclosure Schedule.</w:t>
      </w:r>
    </w:p>
    <w:p>
      <w:pPr>
        <w:spacing w:after="0" w:line="18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Parent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Parent shall promptly notify (in reasonably sufficient detail) the Company of the occurrence of any event which would or would reasonably be expected to (i) prevent, materially delay or materially impair the ability of Parent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xml:space="preserve"> shall not affect or be deemed to modify any representation, warranty, covenant, right, remedy, or condition to any obligation of Parent hereunder (other than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to the extent permitted by applicable Law, promptly provide Parent with a copy of all written or details of any oral correspondence received after the date hereof from the FDA or any other Regulatory Authority regarding any (i) approval, withdrawal, delay, suspension, termination, placement on inactive status (including any clinical hold) or revocation of any approval for such Product, (ii) prohibition, suspension or material delay of the supply of such Product, (iii) new or expanded investigation, review or inquiry concerning the safety of such Product, or</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information or meetings with respect to such Product.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inform Parent of, and provide Parent with a reasonable advance opportunity to review and comment on any material filing proposed to be made by or on behalf of the Company or any of its Subsidiaries with respect to any Product, and any material correspondence or other material communication proposed to be submitted or otherwise transmitted to the FDA or any other Regulatory Authority by or on behalf of the Company or any of its Subsidiaries. The Company and the Company Subsidiaries shall consult with, and consider any comment from, Parent in good faith prior to making any material submissions to or having material discussions with the FDA or any other Governmental Body or Regulatory Authority.</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reasonably promptly (and in any event within three (3) business days upon discovery by the Company) notify Parent in writing of (i) any FDA Form 483, warning letter, untitled letter, or other similar correspondence or notice from the FDA or any other applicable Regulatory Authority alleging or asserting material noncompliance with any applicable Laws or Regulatory Authorizations received by the Company, its Subsidiaries, or to the knowledge of the Company, any of their respective contract manufacturers with respect to the Products (ii) any written notices, correspondence, or other communication from any institutional review board or independent ethics committee, the FDA or any applicable Regulatory Authority, recommending or requiring the termination, suspension, or material modification of any ongoing or planned clinical trials conducted by, or on behalf of, the Company or any of its Subsidiaries, (iii) any Legal Proceedings (whether complete or pending) or request from a Regulatory Authority seeking the recall, withdrawal, suspension or seizure of any Product or (iv) any written notice or other communication from any applicable Regulatory Authority (A) withdrawing or placing any of the Products on “clinical hold” or requiring the termination or suspension of any pre-clinical studies or clinical trials of the Products or (B) alleging any material violation of any applicable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(i) provide Parent with advance notice of and an opportunity for two designated Representatives of Parent to attend as an observer any meetings the Company has with the FDA or any other Regulatory Authority and (ii) consider in good faith any comments or other input provided by Parent in respect of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 TO THE CLOSING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Closing, are subject to the satisfaction, at or prior to the Closing, of each of the following conditions, to the extent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Obligation of Each Party to Effect the Closing</w:t>
      </w:r>
      <w:r>
        <w:rPr>
          <w:rFonts w:ascii="Times New Roman" w:cs="Times New Roman" w:eastAsia="Times New Roman" w:hAnsi="Times New Roman"/>
          <w:sz w:val="18"/>
          <w:szCs w:val="18"/>
          <w:color w:val="auto"/>
        </w:rPr>
        <w:t>. The respective obligations of each Party to effect the Closing shall be subject to the satisfaction (or waiver by Parent, on its own behalf and on behalf of Merger Sub, and the Company, in each case, to the extent permitted by applicable Law) at or prior to the Effective Time of the following conditions:</w:t>
      </w:r>
    </w:p>
    <w:p>
      <w:pPr>
        <w:spacing w:after="0" w:line="176" w:lineRule="exact"/>
        <w:rPr>
          <w:sz w:val="20"/>
          <w:szCs w:val="20"/>
          <w:color w:val="auto"/>
        </w:rPr>
      </w:pPr>
    </w:p>
    <w:p>
      <w:pPr>
        <w:ind w:left="1540" w:hanging="236"/>
        <w:spacing w:after="0"/>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Required Company Stockholder Approval shall have been obtained.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(i) injunction or similar order by any Governmental Body having jurisdiction over Guarantor, Parent, Merger Sub, the Company, or any of their respective Subsidiaries that prohibits the consummation of the Merger and the other Transactions shall have been entered and shall continue to be in effect or (ii) Law shall have been enacted, entered, promulgated or enforced, and remain in effect, by any Governmental Body having competent jurisdiction over Guarantor, Parent, Merger Sub, the Company, or any of their respective Subsidiaries that, in any case, prohibits or makes illegal the Transactions (any such order, injunction, or Law in clause (i) or (ii), a “</w:t>
      </w:r>
      <w:r>
        <w:rPr>
          <w:rFonts w:ascii="Times New Roman" w:cs="Times New Roman" w:eastAsia="Times New Roman" w:hAnsi="Times New Roman"/>
          <w:sz w:val="18"/>
          <w:szCs w:val="18"/>
          <w:b w:val="1"/>
          <w:bCs w:val="1"/>
          <w:i w:val="1"/>
          <w:iCs w:val="1"/>
          <w:color w:val="auto"/>
        </w:rPr>
        <w:t>Legal Restraint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(i) Any waiting period under the HSR Act and the filings specified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 applicable to the Merger (and any extension thereof), and any voluntary commitment or agreement with the FTC, the DOJ, or any other Governmental Body not to effect the Closing, shall have expired or been earlier terminated; (ii) all other authorizations, consents, orders, approvals, filings, proceedings, declarations, and expirations of waiting periods, under the applicable Antitrust Laws with respect to the Merger in each case specified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 shall have been made, expired, terminated, or obtained, as the case may be (the foregoing clauses, together the “</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and (iii) all Regulatory Approvals shall be in full force and effect.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 of the Company to Effect the Closing</w:t>
      </w:r>
      <w:r>
        <w:rPr>
          <w:rFonts w:ascii="Times New Roman" w:cs="Times New Roman" w:eastAsia="Times New Roman" w:hAnsi="Times New Roman"/>
          <w:sz w:val="18"/>
          <w:szCs w:val="18"/>
          <w:color w:val="auto"/>
        </w:rPr>
        <w:t>. The obligation of the Company to effect the Closing is further subject to the satisfaction (or waiver by the Company to the extent permitted by applicable Law) of the following conditions:</w:t>
      </w:r>
    </w:p>
    <w:p>
      <w:pPr>
        <w:spacing w:after="0" w:line="162" w:lineRule="exact"/>
        <w:rPr>
          <w:sz w:val="20"/>
          <w:szCs w:val="20"/>
          <w:color w:val="auto"/>
        </w:rPr>
      </w:pPr>
    </w:p>
    <w:p>
      <w:pPr>
        <w:jc w:val="both"/>
        <w:ind w:firstLine="1304"/>
        <w:spacing w:after="0" w:line="261" w:lineRule="auto"/>
        <w:tabs>
          <w:tab w:leader="none" w:pos="1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Parent and Merger Sub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(disregarding all materiality and Parent Material Adverse Effect qualifications contained therein) shall be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have a Parent Material Adverse Effect.</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right="20" w:firstLine="1304"/>
        <w:spacing w:after="0" w:line="282" w:lineRule="auto"/>
        <w:tabs>
          <w:tab w:leader="none" w:pos="15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complied with, or performed, in all material respects all of the covenants and agreements they are required to comply with or perform under this Agreement at or prior to the Effective Time.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Obligations of Parent and Merger Sub to Effect the Closing</w:t>
      </w:r>
      <w:r>
        <w:rPr>
          <w:rFonts w:ascii="Times New Roman" w:cs="Times New Roman" w:eastAsia="Times New Roman" w:hAnsi="Times New Roman"/>
          <w:sz w:val="18"/>
          <w:szCs w:val="18"/>
          <w:color w:val="auto"/>
        </w:rPr>
        <w:t>. The obligations of Parent and Merger Sub to effect the Closing are further subject to the satisfaction (or waiver by Parent, on its own behalf and on behalf of Merger Sub, to the extent permitted by applicable Law) of the following conditions:</w:t>
      </w:r>
    </w:p>
    <w:p>
      <w:pPr>
        <w:spacing w:after="0" w:line="174" w:lineRule="exact"/>
        <w:rPr>
          <w:sz w:val="20"/>
          <w:szCs w:val="20"/>
          <w:color w:val="auto"/>
        </w:rPr>
      </w:pPr>
    </w:p>
    <w:p>
      <w:pPr>
        <w:jc w:val="both"/>
        <w:ind w:firstLine="1304"/>
        <w:spacing w:after="0" w:line="252" w:lineRule="auto"/>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Securities</w:t>
      </w:r>
      <w:r>
        <w:rPr>
          <w:rFonts w:ascii="Times New Roman" w:cs="Times New Roman" w:eastAsia="Times New Roman" w:hAnsi="Times New Roman"/>
          <w:sz w:val="18"/>
          <w:szCs w:val="18"/>
          <w:color w:val="auto"/>
        </w:rPr>
        <w:t xml:space="preserve">) and the first sentence of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Equity Awards</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 (ii) the representations and warranties of the Company set forth in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Equity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Breach of Covenants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shall be true and correct, both when made and at and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as if made at and as of such time (except to the extent expressly made as of an earlier date, in which case as of such date); (iii)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 of Incorporation; Bylaws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3.3(b)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first sentence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203 of DGCL</w:t>
      </w:r>
      <w:r>
        <w:rPr>
          <w:rFonts w:ascii="Times New Roman" w:cs="Times New Roman" w:eastAsia="Times New Roman" w:hAnsi="Times New Roman"/>
          <w:sz w:val="18"/>
          <w:szCs w:val="18"/>
          <w:color w:val="auto"/>
        </w:rPr>
        <w:t xml:space="preserve">) (x) that are qualified by “materiality” or “Material Adverse Effect” shall be true and correct, both when made and at and as of the Closing Date, as if made at and as of such time (except to the extent expressly made as of an earlier date, in which case as of such date) and (y) that are not qualified by “materiality” or “Material Adverse Effect” shall be true and correct in all material respects, both when made and at and as of the Closing Date, as if made at and as of such time (except to the extent expressly made as of an earlier date, in which case as of such date); and (iv) the other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(disregarding all materiality and Material Adverse Effect qualifications contained therein) shall be true and correct in all respects both when made and at and as 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Material Adverse Effect.</w:t>
      </w:r>
    </w:p>
    <w:p>
      <w:pPr>
        <w:spacing w:after="0" w:line="196"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or performed, in all material respects all of the covenants and agreements it is required to comply with or perform under this Agreement at or prior to the Effective Time.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 Material Adverse Effect that is continuing.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right="20" w:firstLine="1304"/>
        <w:spacing w:after="0" w:line="282" w:lineRule="auto"/>
        <w:tabs>
          <w:tab w:leader="none" w:pos="15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 Party may rely, either as a basis for not consummating the Merger or terminating this Agreement and abandoning the Merger, on the failure of any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the case may be, to be satisfied if such failure was caused principally by such Party’s failure to perform any of its obligations under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 and Abandonment</w:t>
      </w:r>
      <w:r>
        <w:rPr>
          <w:rFonts w:ascii="Times New Roman" w:cs="Times New Roman" w:eastAsia="Times New Roman" w:hAnsi="Times New Roman"/>
          <w:sz w:val="18"/>
          <w:szCs w:val="18"/>
          <w:color w:val="auto"/>
        </w:rPr>
        <w:t>. This Agreement may be terminated and abandoned at any time prior to the Effective Time, whether before or after the Required Company Stockholder Approvals:</w:t>
      </w:r>
    </w:p>
    <w:p>
      <w:pPr>
        <w:spacing w:after="0" w:line="162" w:lineRule="exact"/>
        <w:rPr>
          <w:sz w:val="20"/>
          <w:szCs w:val="20"/>
          <w:color w:val="auto"/>
        </w:rPr>
      </w:pPr>
    </w:p>
    <w:p>
      <w:pPr>
        <w:ind w:left="1540" w:hanging="236"/>
        <w:spacing w:after="0"/>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22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has not occurred on or before December 18, 2026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the failure of the Closing to have occurred prior to the End Date is primarily attributable to the failure on the part of such Party to perform in any material respect any covenant or obligation in this Agreement required to be performed by such Party or if the only reason that the conditions to Closing other than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(to the extent the applicable Legal Restraint relates to Antitrust Laws), are not satisfied is due to a breach of a representation, warranty, covenant or agreement by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on the End Date all of the conditions to Closing, other than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only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extent the applicable Legal Restraint relates to Antitrust Laws), shall have been satisfied or waived (to the extent permitted by applicable Law) or shall be capable of being satisfied at such time, the End Date shall be automatically extended by six (6) months (and in the case of such extension, any reference to the End Date in any other provision of this Agreement shall be a reference to the End Date as so extended);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on such extended End Date all of the conditions to Closing, other than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(but only to the extent the applicable Legal Restraint relates to Antitrust Laws), shall have been satisfied or waived (to the extent permitted by applicable Law) or shall be capable of being satisfied at such time, the End Date may be further extended in Parent’s sole discretion, by written notice to the Company prior to the extended End Date, by a period of six (6) months (and in the case of such extension, any reference to the End Date in any other provision of this Agreement shall be a reference to the End Date as so extended);</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any Governmental Body having competent jurisdiction over Guarantor, Parent, Merger Sub or the Company has issued a Legal Restraint, and such Legal Restraint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the imposition of such Legal Restraint or the failure of such Legal Restraint to be resolved or lifted is primarily attributable to the failure on the part of such Party to perform in any material respect any covenant or obligation in this Agreement required to be performed by such Party;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1304"/>
        <w:spacing w:after="0" w:line="258" w:lineRule="auto"/>
        <w:tabs>
          <w:tab w:leader="none" w:pos="15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the Company Stockholders’ Meeting (including any adjournment, recess, or postponement thereof) has concluded and the Required Company Stockholder Approvals contemplated by this Agreement has not been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if the failure to obtain the Required Company Stockholder Approvals is primarily attributable to the failure on the part of such Party to perform in any material respect any covenant or obligation in this Agreement required to be performed by such Party;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Parent or Merger Sub has breached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(ii) cannot be cured by the End Date or, if curable, is not cured within thirty (30) days following the Company’s delivery of written notice to Parent stating the Company’s intention to terminate this Agreement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then in breach of any representation, warranty, agreement, or covenant in this Agreement that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Company has breached (i)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 any material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Parent’s right to terminate this Agreement pursuant to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shall expire upon receipt of the Required Company Stockholder Approvals or (ii) any representation, warranty, covenant, or agreement in this Agreement, in each case, which breach (A)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(B) cannot be cured by the End Date or, if curable, is not cured within thirty (30) days following Parent’s delivery of written notice to the Company stating Parent’s intention to terminate this Agreement pursuant to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Parent or Merger Sub is not then in breach of any representation, warranty, agreement, or covenant in this Agreement that would result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time the Required Company Stockholder Approvals are obtained, by the Company in order to accept a Superior Proposal and immediately thereafter with such termination enter into a binding written definitive acquisition agreement providing for the consummation of a transaction constituting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has complied in all material respects with the requirements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with respect to such Superior Proposal and, concurrently with such termination, pays (or causes to be paid) the Termination Fee specified in </w:t>
      </w:r>
      <w:r>
        <w:rPr>
          <w:rFonts w:ascii="Times New Roman" w:cs="Times New Roman" w:eastAsia="Times New Roman" w:hAnsi="Times New Roman"/>
          <w:sz w:val="18"/>
          <w:szCs w:val="18"/>
          <w:u w:val="single" w:color="auto"/>
          <w:color w:val="auto"/>
        </w:rPr>
        <w:t>Section 7.3(a)(i)</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Required Company Stockholder Approvals are obtained, by Parent, if the Company Board shall have effected a Change in Recommendation.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 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the terminating Party shall give prompt written notice thereof to the other Parties, specifying the provision hereof pursuant to which such termination is made, (b) this Agreement shall be of no further force or effect and the Transactions shall be abandoned, each as of the date of termination, and (c) there shall be no liability on the part of any Parent Party or Company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termination of this Agreement and shall remain in full force and effect, (ii) the Confidentiality Agreement shall survive the termination of this Agreement and shall remain in full force and effect, in each case, in accordance with its terms, and</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32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termination of this Agreement shall not relieve any Party from any liability for Fraud or Willful Breach.</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Survival of Representations and Warranties and Covenants</w:t>
      </w:r>
      <w:r>
        <w:rPr>
          <w:rFonts w:ascii="Times New Roman" w:cs="Times New Roman" w:eastAsia="Times New Roman" w:hAnsi="Times New Roman"/>
          <w:sz w:val="18"/>
          <w:szCs w:val="18"/>
          <w:color w:val="auto"/>
        </w:rPr>
        <w:t xml:space="preserve">. None of the representations and warranties or covenants in this Agreement, the Company Disclosure Schedule, the Parent Disclosure Schedule or any certificate or schedule or other document delivered pursuant to this Agreement shall survive the Merger,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those covenants that by their terms survive the Effective Time,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Effective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Notwithstanding anything to the contrary in this Agreement, if this Agreement is terminated:</w:t>
      </w:r>
    </w:p>
    <w:p>
      <w:pPr>
        <w:spacing w:after="0" w:line="223"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for Superior Proposal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7" w:lineRule="auto"/>
        <w:tabs>
          <w:tab w:leader="none" w:pos="226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Recommendation</w:t>
      </w:r>
      <w:r>
        <w:rPr>
          <w:rFonts w:ascii="Times New Roman" w:cs="Times New Roman" w:eastAsia="Times New Roman" w:hAnsi="Times New Roman"/>
          <w:sz w:val="18"/>
          <w:szCs w:val="18"/>
          <w:color w:val="auto"/>
        </w:rPr>
        <w:t xml:space="preserve">) or by either Parent or the Company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and, immediately prior to the Company Stockholders’ Meeting, Parent would have been entitled to terminate this Agreement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Recommendation</w:t>
      </w:r>
      <w:r>
        <w:rPr>
          <w:rFonts w:ascii="Times New Roman" w:cs="Times New Roman" w:eastAsia="Times New Roman" w:hAnsi="Times New Roman"/>
          <w:sz w:val="18"/>
          <w:szCs w:val="18"/>
          <w:color w:val="auto"/>
        </w:rPr>
        <w:t>); or</w:t>
      </w:r>
    </w:p>
    <w:p>
      <w:pPr>
        <w:spacing w:after="0" w:line="173" w:lineRule="exact"/>
        <w:rPr>
          <w:rFonts w:ascii="Times New Roman" w:cs="Times New Roman" w:eastAsia="Times New Roman" w:hAnsi="Times New Roman"/>
          <w:sz w:val="18"/>
          <w:szCs w:val="18"/>
          <w:color w:val="auto"/>
        </w:rPr>
      </w:pPr>
    </w:p>
    <w:p>
      <w:pPr>
        <w:ind w:left="660" w:firstLine="1292"/>
        <w:spacing w:after="0" w:line="284" w:lineRule="auto"/>
        <w:tabs>
          <w:tab w:leader="none" w:pos="227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Company Representations or Covenants</w:t>
      </w:r>
      <w:r>
        <w:rPr>
          <w:rFonts w:ascii="Times New Roman" w:cs="Times New Roman" w:eastAsia="Times New Roman" w:hAnsi="Times New Roman"/>
          <w:sz w:val="18"/>
          <w:szCs w:val="18"/>
          <w:color w:val="auto"/>
        </w:rPr>
        <w:t>) and, in each case,</w:t>
      </w:r>
    </w:p>
    <w:p>
      <w:pPr>
        <w:spacing w:after="0" w:line="160" w:lineRule="exact"/>
        <w:rPr>
          <w:rFonts w:ascii="Times New Roman" w:cs="Times New Roman" w:eastAsia="Times New Roman" w:hAnsi="Times New Roman"/>
          <w:sz w:val="18"/>
          <w:szCs w:val="18"/>
          <w:color w:val="auto"/>
        </w:rPr>
      </w:pPr>
    </w:p>
    <w:p>
      <w:pPr>
        <w:jc w:val="both"/>
        <w:ind w:left="1960" w:firstLine="640"/>
        <w:spacing w:after="0" w:line="256" w:lineRule="auto"/>
        <w:tabs>
          <w:tab w:leader="none" w:pos="2903"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execution and delivery of this Agreement, and at or prior to the Company Stockholders’ Meeting, in the case of a termination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or at or prior to the time of such termination, in the case of a termination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or Covenants</w:t>
      </w:r>
      <w:r>
        <w:rPr>
          <w:rFonts w:ascii="Times New Roman" w:cs="Times New Roman" w:eastAsia="Times New Roman" w:hAnsi="Times New Roman"/>
          <w:sz w:val="18"/>
          <w:szCs w:val="18"/>
          <w:color w:val="auto"/>
        </w:rPr>
        <w:t>), any Person shall have publicly made or announced (and not subsequently withdrawn)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shall have publicly announced an intention (whether or not conditional) to make (and not subsequently withdrawn) a Company Alternative Transaction;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left="1960" w:firstLine="640"/>
        <w:spacing w:after="0" w:line="266" w:lineRule="auto"/>
        <w:tabs>
          <w:tab w:leader="none" w:pos="289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twelve (12) months of termination of this Agreement, the Company or any of its Subsidiaries enters into a definitive agreement with any Company Third Party with respect to any Company Alternative Transaction or any Company Alternative Transaction is consummated,</w:t>
      </w:r>
    </w:p>
    <w:p>
      <w:pPr>
        <w:spacing w:after="0" w:line="176"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then, in each case, the Company shall pay, or cause to be paid, by wire transfer of immediately available funds to an account designated by Parent, a fee of $381,273,716 in cash (the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xml:space="preserve">”), not later than, (x) in the case of clause (i)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substantially concurrently with such termination, (y) in the case of clause (ii)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two (2) business days after the date of termination of this Agreement, and</w:t>
      </w:r>
    </w:p>
    <w:p>
      <w:pPr>
        <w:spacing w:after="0" w:line="1" w:lineRule="exact"/>
        <w:rPr>
          <w:sz w:val="20"/>
          <w:szCs w:val="20"/>
          <w:color w:val="auto"/>
        </w:rPr>
      </w:pPr>
    </w:p>
    <w:p>
      <w:pPr>
        <w:jc w:val="both"/>
        <w:ind w:left="660" w:hanging="4"/>
        <w:spacing w:after="0" w:line="253" w:lineRule="auto"/>
        <w:tabs>
          <w:tab w:leader="none" w:pos="91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(iii)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two (2) business days after the earlier of the date the definitive agreement with respect to the Company Alternative Transaction is entered into and the date the Company Alternative Transaction is consummated; </w:t>
      </w:r>
      <w:r>
        <w:rPr>
          <w:rFonts w:ascii="Times New Roman" w:cs="Times New Roman" w:eastAsia="Times New Roman" w:hAnsi="Times New Roman"/>
          <w:sz w:val="18"/>
          <w:szCs w:val="18"/>
          <w:i w:val="1"/>
          <w:iCs w:val="1"/>
          <w:color w:val="auto"/>
        </w:rPr>
        <w:t>it being understood</w:t>
      </w:r>
      <w:r>
        <w:rPr>
          <w:rFonts w:ascii="Times New Roman" w:cs="Times New Roman" w:eastAsia="Times New Roman" w:hAnsi="Times New Roman"/>
          <w:sz w:val="18"/>
          <w:szCs w:val="18"/>
          <w:color w:val="auto"/>
        </w:rPr>
        <w:t xml:space="preserve"> that (1) for all purposes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all references to “20%” in the definition of “Company Alternative Transaction” shall be deemed to be references to “50%” and (2) in no event shall the Company be required to pay the Termination Fee on more than one occasion.</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In the event that (i) Parent or the Company terminates this Agreement pursuant to (x)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Restraints</w:t>
      </w:r>
      <w:r>
        <w:rPr>
          <w:rFonts w:ascii="Times New Roman" w:cs="Times New Roman" w:eastAsia="Times New Roman" w:hAnsi="Times New Roman"/>
          <w:sz w:val="18"/>
          <w:szCs w:val="18"/>
          <w:color w:val="auto"/>
        </w:rPr>
        <w:t>) and such Legal Restraint that gives rise to such termination right is in respect of, pursuant to or arises under any Antitrust Laws or (y)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(ii) at the time of such termination, (A) the condition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has been satisfied,</w:t>
      </w:r>
    </w:p>
    <w:p>
      <w:pPr>
        <w:jc w:val="both"/>
        <w:ind w:firstLine="8"/>
        <w:spacing w:after="0" w:line="251" w:lineRule="auto"/>
        <w:tabs>
          <w:tab w:leader="none" w:pos="29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xml:space="preserve">) has not been satisfied (and, in the case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the Legal Restraint that has caused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to not be satisfied is in respect of, pursuant to or arises under any Antitrust Law), (C) all of the conditions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Obligations of Parent and Merger Sub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the Closing</w:t>
      </w:r>
      <w:r>
        <w:rPr>
          <w:rFonts w:ascii="Times New Roman" w:cs="Times New Roman" w:eastAsia="Times New Roman" w:hAnsi="Times New Roman"/>
          <w:sz w:val="18"/>
          <w:szCs w:val="18"/>
          <w:color w:val="auto"/>
        </w:rPr>
        <w:t>) are satisfied (or, in the case of conditions that by their terms are to be satisfied at the Closing, are capable of being satisfied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and (D) a breach by the Company of its covenants or agreements in this Agreement have not contributed materially to the applicable Legal Restraint that gives rise to the termination right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Restraints</w:t>
      </w:r>
      <w:r>
        <w:rPr>
          <w:rFonts w:ascii="Times New Roman" w:cs="Times New Roman" w:eastAsia="Times New Roman" w:hAnsi="Times New Roman"/>
          <w:sz w:val="18"/>
          <w:szCs w:val="18"/>
          <w:color w:val="auto"/>
        </w:rPr>
        <w:t xml:space="preserve">) or the failure of any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to be satisfied, then Parent shall pay, or cause to be paid, by wire transfer of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to the Company a fee of $381,273,716 in cash (the “</w:t>
      </w:r>
      <w:r>
        <w:rPr>
          <w:rFonts w:ascii="Times New Roman" w:cs="Times New Roman" w:eastAsia="Times New Roman" w:hAnsi="Times New Roman"/>
          <w:sz w:val="18"/>
          <w:szCs w:val="18"/>
          <w:b w:val="1"/>
          <w:bCs w:val="1"/>
          <w:i w:val="1"/>
          <w:iCs w:val="1"/>
          <w:color w:val="auto"/>
        </w:rPr>
        <w:t>Reverse Termination Fee</w:t>
      </w:r>
      <w:r>
        <w:rPr>
          <w:rFonts w:ascii="Times New Roman" w:cs="Times New Roman" w:eastAsia="Times New Roman" w:hAnsi="Times New Roman"/>
          <w:sz w:val="18"/>
          <w:szCs w:val="18"/>
          <w:color w:val="auto"/>
        </w:rPr>
        <w:t>”) no later than two (2) business days after the date of the termination of this Agreement. In no event shall Parent be required to pay the Reverse Termination Fee on more than one occasion.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ind w:firstLine="1304"/>
        <w:spacing w:after="0" w:line="255"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upon the payment by the Company of the Termination Fee as and when required by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by Parent of the Reverse Termination Fee as and when required by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none of the Company Parties or Parent Parties, as applicable, shall have any further liability with respect to this Agreement or the Transactions to any Parent Party or Company Party, as applicable. If any applicable Law requires deduction or withholding of any Tax from any payment of the Termination Fee or Reverse Termination Fee, as applicable, then the Company or Parent, as applicable, shall be entitled to make such deduction or withholding and shall timely pay the full amount deducted or withheld to the relevant Governmental Body in accordance with applicable Law (and such deducted or withheld amounts shall be treated for all purposes of this Agreement as having been paid to the Person in respect of which such deduction or withholding was made).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Each Party agrees that notwithstanding anything in this Agreement to the contrary, in the event that any Termination Fee or Reverse Termination Fee, as applicable, is paid to Parent or the Company, as applicable, in circumstances in which such fee is payable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 the payment of such Termination Fee shall be the sole and exclusive remedy of Parent, its Affiliates (including Guarantor and Merger Sub), stockholders, officers, directors, employees and each of the foregoing’s Representatives against the Company, its Subsidiaries or any of their respective Representatives or Affiliates, (ii) the payment of such Reverse Termination Fee shall be the sole and exclusive remedy of the Company, its Affiliates, stockholders, officers, directors, employees and each of the foregoing’s Representatives against the Parent, its Subsidiaries or any of their respective Representatives or Affiliates (including Guarantor and Merger Sub), and (iii) no Party nor any Affiliates or Representatives of any Party shall have any further liability or obligation to the other Party nor any of its Affiliates or Representatives arising out of or relating to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the foregoing clauses (i), (ii) and (iii), no termination of this Agreement will relieve any Party from any liability for any Fraud or Willful Breach hereunder or affect the rights or obligations of any Party pursuant to the Confidentiality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xml:space="preserve">. Each Party acknowledges that the agreements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this Agreement and that, without these agreements, the Parties would not have entered into this Agreement. Accordingly, if the Company or Parent fails to promptly pay 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Company shall pay to Parent or Parent shall pay to the Company, as applicable, all fees, costs, and expenses of enforcement (including attorneys’ fees and expenses as well as expenses incurred in connection with any action initiated by Parent or the Company, as applicable), together with interest on the amount due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at the prime lending rate as published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in effect on the date such payment is required to be made. The Parties further acknowledge that the Termination Fee or Reverse Termination Fee, as applicable, shall not constitute a penalty but rather liquidated damages for losses and damages described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in a reasonable amount that will compensate Parent or the Company, as applicable, in the circumstances in which the Termination Fee or Reverse Termination Fee, as applicable, is payable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prior to the Effective Time, this Agreement may be amended or supplemented with the approval of each of the Company Board and Parent at any time. This Agreement may not be amended except by an instrument in writing signed on behalf of each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after receipt of the Required Company Stockholder Approvals, if any such amendment or waiver shall by applicable Law or in accordance with the rules of the NASDAQ Global Markets require further approval of the stockholders of the Company, the effectiveness of such amendment or waiver shall be subject to the approval of the stockholders of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or relating to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xml:space="preserve">. This Agreement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Confidentiality Agreement shall not be superseded and shall remain in full force and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Effective Time occurs, the Confidentiality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Applicable Laws; Jurisdiction; Specific Performance;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ind w:firstLine="1304"/>
        <w:spacing w:after="0" w:line="269" w:lineRule="auto"/>
        <w:tabs>
          <w:tab w:leader="none" w:pos="1564"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action or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7"/>
          <w:szCs w:val="17"/>
          <w:b w:val="1"/>
          <w:bCs w:val="1"/>
          <w:i w:val="1"/>
          <w:iCs w:val="1"/>
          <w:color w:val="auto"/>
        </w:rPr>
        <w:t>Chosen Courts</w:t>
      </w:r>
      <w:r>
        <w:rPr>
          <w:rFonts w:ascii="Times New Roman" w:cs="Times New Roman" w:eastAsia="Times New Roman" w:hAnsi="Times New Roman"/>
          <w:sz w:val="17"/>
          <w:szCs w:val="17"/>
          <w:color w:val="auto"/>
        </w:rPr>
        <w:t>”); (ii) agrees that it will not attempt to deny or defeat such personal jurisdiction of such Chosen Court by motion, other request for leave, or other Legal Proceeding;</w:t>
      </w:r>
    </w:p>
    <w:p>
      <w:pPr>
        <w:spacing w:after="0" w:line="2" w:lineRule="exact"/>
        <w:rPr>
          <w:rFonts w:ascii="Times New Roman" w:cs="Times New Roman" w:eastAsia="Times New Roman" w:hAnsi="Times New Roman"/>
          <w:sz w:val="17"/>
          <w:szCs w:val="17"/>
          <w:color w:val="auto"/>
        </w:rPr>
      </w:pPr>
    </w:p>
    <w:p>
      <w:pPr>
        <w:jc w:val="both"/>
        <w:ind w:firstLine="8"/>
        <w:spacing w:after="0" w:line="252" w:lineRule="auto"/>
        <w:tabs>
          <w:tab w:leader="none" w:pos="3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any other manner permitted by applicable Law. A final judgment in any action or Legal Proceeding commenced in accordance with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43" w:lineRule="auto"/>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(other than payment of the Termination Fee or the Reverse Termination Fee). Subject to the following sentence, (i)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(ii) the provisions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are not intended to and do not adequately compensate for the harm that would result from a breach of this Agreement and (B) shall not be construed to diminish or otherwise impair in any respect any Party’s right to specific performance, in each case, except if Parent has been paid the Termination Fee or the Company has been paid the Reverse Termination Fee in accordance with the terms of this Agreement; and (iii) the right of specific performance is an integral part of the Transactions, and, without that right, neither the Company nor Parent would have entered into this Agreement. Except if the Termination Fee or the Reverse Termination Fee has been paid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 Party shall oppose the granting of an injunction, specific performance, or other equitable relief on the basis that the other Parties have an adequate remedy at law or that an award of specific performance is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 In the event that a Party initiates a Legal Proceeding seeking equitable relief pursuant to this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the End Date shall automatically be extended to (x)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on which such Legal Proceeding is finally resolved or (y) such other date established by the Chosen Court presiding over such Legal Proceeding.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right="20" w:firstLine="1304"/>
        <w:spacing w:after="0" w:line="282" w:lineRule="auto"/>
        <w:tabs>
          <w:tab w:leader="none" w:pos="15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WAIVES ANY RIGHT TO A TRIAL BY JURY IN ANY LEGAL PROCEEDING BETWEEN OR AMONG THE PARTIES ARISING OUT OF, RELATING TO THE SUBJECT MATTER OF THIS AGREEMENT OR THE TRANSACTIONS.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and shall be enforceable solely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this Agreement nor any right hereunder may be assigned without the prior written consent of the other Parties, and any attempted assignment of this Agreement or any such right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Parent or Merger Sub may assign this Agreement or its rights, interests and obligations hereunder to any Affiliate (provided that no such assignment shall relieve Parent or Merger Sub of their respective obligations hereunder and no such assignment shall result in additional withholding or deduction of, or any additional requirement to withholding or deduct, any amount of Tax pursuant to this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No Third-Party Beneficiary</w:t>
      </w:r>
      <w:r>
        <w:rPr>
          <w:rFonts w:ascii="Times New Roman" w:cs="Times New Roman" w:eastAsia="Times New Roman" w:hAnsi="Times New Roman"/>
          <w:sz w:val="18"/>
          <w:szCs w:val="18"/>
          <w:color w:val="auto"/>
        </w:rPr>
        <w:t xml:space="preserve">. Nothing in this Agreement is intended to or shall confer upon any Person (other than the Parties) any power, right, privilege, or remedy of any nature whatsoever under or by reason of this Agreement, except for: (a)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(which, from and after the Effective Time, shall be for the sole benefit of the Indemnified Persons); (b) the limitations on liability of the Company Parties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(which shall be for the express benefit of, and enforceable by, each of the Company Parties) and (c) any provisions relating to Guarantor which shall be for the benefit of Guarantor.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10:00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or (d) if sent by email transmission after 10:00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If to Guarantor, Parent or Merger Sub (or following the Effective Time, the Surviving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North Chicago, Illinois 60064</w:t>
      </w:r>
    </w:p>
    <w:p>
      <w:pPr>
        <w:spacing w:after="0" w:line="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Executive Vice President, General Counsel and Secretary</w:t>
      </w:r>
    </w:p>
    <w:p>
      <w:pPr>
        <w:spacing w:after="0" w:line="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Krishna Veeraraghavan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jc w:val="both"/>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(prior to the Effective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Apogee Therapeutics, Inc.</w:t>
      </w:r>
    </w:p>
    <w:p>
      <w:pPr>
        <w:ind w:left="660"/>
        <w:spacing w:after="0" w:line="182" w:lineRule="auto"/>
        <w:rPr>
          <w:sz w:val="20"/>
          <w:szCs w:val="20"/>
          <w:color w:val="auto"/>
        </w:rPr>
      </w:pPr>
      <w:r>
        <w:rPr>
          <w:rFonts w:ascii="Times New Roman" w:cs="Times New Roman" w:eastAsia="Times New Roman" w:hAnsi="Times New Roman"/>
          <w:sz w:val="17"/>
          <w:szCs w:val="17"/>
          <w:color w:val="auto"/>
        </w:rPr>
        <w:t>One Letterman Drive, Building B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Matthew Batters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Graham Robinson, P.C.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Chadé Severin, P.C.</w:t>
      </w:r>
    </w:p>
    <w:p>
      <w:pPr>
        <w:spacing w:after="0" w:line="9" w:lineRule="exact"/>
        <w:rPr>
          <w:sz w:val="20"/>
          <w:szCs w:val="20"/>
          <w:color w:val="auto"/>
        </w:rPr>
      </w:pPr>
    </w:p>
    <w:p>
      <w:pPr>
        <w:jc w:val="both"/>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the last sentence of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fees and expenses incurred in connection with this Agreement and the Transactions shall be paid by the Party incurring such expenses, whether or not the Transactions are consummated.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Guarantee of Guarantor</w:t>
      </w:r>
      <w:r>
        <w:rPr>
          <w:rFonts w:ascii="Times New Roman" w:cs="Times New Roman" w:eastAsia="Times New Roman" w:hAnsi="Times New Roman"/>
          <w:sz w:val="18"/>
          <w:szCs w:val="18"/>
          <w:color w:val="auto"/>
        </w:rPr>
        <w:t>. As a material inducement to the Company entering into this Agreement and consummating the transactions contemplated hereby, Guarantor hereby irrevocably and unconditionally guarantees to the Company, the full and timely performance and satisfaction of Parent and Merger Sub’s obligations as set forth in this Agreement, in each case as and when due. If, for any reason whatsoever, Parent or Merger Sub shall fail or be unable to make full and timely payment as set forth in this Agreement or perform any of its obligations under this Agreement, such payment or obligations shall be due and payable for the purposes hereof and Guarantor will forthwith pay and cause to be paid in lawful currency of the United States, or perform or cause to be performed, Parent and Merger Sub’s obligations hereunder. The foregoing obligation of Guarantor constitutes a continuing guarantee of payment and performance (and not merely of collection), and is and shall be absolute and unconditional under any and all circumstances, including circumstances which might otherwise constitute a legal or equitable discharge of a Guarantor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Guarantor agrees that its obligations under this section are independent from those of Parent and Merger Sub and its liability shall extend to all liabilities and obligations that constitute part of Parent and Merger Sub’s payment and other obligations hereunder, irrespective of whether any action is brought against Parent or Merger Sub or whether Parent or Merger Sub is joined in any such action or actions.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Except as expressly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all transfer, documentary, sales, use, stamp, registration, value-added, and other similar Taxes and fees incurred in connection with the consummation of the Transactions shall be paid by Parent and Merger Sub when due. Parent shall, at its sole expense, file all necessary Tax Returns and other documentation with respect to such Taxes and fees required by Law to be filed.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The disclosures set forth in any particular part or subpart of the Company Disclosure Schedule shall be deemed to be an exception to (or, as applicable, a disclosure for purposes of): (a) the representations and warranties or covenants of the Company that are set forth in the corresponding section or subsection of this Agreement and (b) any other representation and warranty or covenant of the Company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Company Disclosure Schedule as an exception to a representation and warranty or covenant as an admission that such item represents a material exception or material fact, event, or circumstance or that such item is material or constitutes a Material Adverse Effect (and no Party concedes such materiality or effect by its inclusion), and no reference to, or disclosure of, any item or other matter in the Company Disclosure Schedule shall necessarily imply that any other undisclosed matter or item having a greater value or significance is material.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and one gender shall include all other genders.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 “or” is not exclusive, unless the context otherwise requires.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 “extent” in the phrase “to the extent” shall mean the degree to which a subject or thing extends, and shall not mean simply “if.”</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2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“Annexes,” and “Schedules” are intended to refer to sections of this Agreement and Exhibits, Annexes, and Schedules to this Agreement,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“made available,” when used in reference to anything made available to Guarantor, Parent, Merger Sub, or any of their respective Representatives, in each case, shall be deemed to include anything (i) uploaded to the electronic data room maintained by or on behalf of the Company or its Representatives for purposes of the Transactions, (ii) delivered to Parent or its Representatives or (iii) publicly available, without redactions, on the Electronic Data Gathering, Analysis and Retrieval (EDGAR) database of the SEC prior to the date of this Agreement, in each case, no later than twenty-four (24) hours prior to the execution and delivery of this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in this Agreement are for convenience of reference only, shall not be deemed to be a part of this Agreement, and shall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(i) any Contract (including this Agreement) are to the Contract as amended, modified, supplemented, restated, or replaced from time to time (in the case of any Contract, to the extent permitted by the terms thereof and, if applicable, the terms of this Agreement); (ii) any Governmental Body includes any successor to that Governmental Body; and (iii) any applicable Law refers to such applicable Law as amended, modified, supplemented, or replaced from time to time (and, in the case of statutes, include any rule and regulation promulgated under such statute) and references to any section of any applicable Law includes any successor to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500" w:hanging="216"/>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U.S. dollars.</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“as of the date hereof,” “as of the date of this Agreement,” or words of similar import shall be deemed to mean the date set forth in the Preamble.</w:t>
      </w:r>
    </w:p>
    <w:p>
      <w:pPr>
        <w:spacing w:after="0" w:line="161"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“since” is used in connection with a date, the period covered thereby shall be inclusive of such date.</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9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the City of New York, New York, U.S.A., unless otherwise specified.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ANDOR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jc w:val="center"/>
        <w:ind w:left="192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ANDOR MERGER CO.</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Michael Henderson, M.D.</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 xml:space="preserve">ABBVIE INC., </w:t>
      </w:r>
      <w:r>
        <w:rPr>
          <w:rFonts w:ascii="Times New Roman" w:cs="Times New Roman" w:eastAsia="Times New Roman" w:hAnsi="Times New Roman"/>
          <w:sz w:val="17"/>
          <w:szCs w:val="17"/>
          <w:color w:val="auto"/>
        </w:rPr>
        <w:t>solely for the limited purposes set forth herein.</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w:t>
      </w:r>
    </w:p>
    <w:p>
      <w:pPr>
        <w:spacing w:after="0" w:line="20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267335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40"/>
          </w:cols>
          <w:pgMar w:left="980" w:top="117" w:right="1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Companies</w:t>
      </w:r>
      <w:r>
        <w:rPr>
          <w:rFonts w:ascii="Times New Roman" w:cs="Times New Roman" w:eastAsia="Times New Roman" w:hAnsi="Times New Roman"/>
          <w:sz w:val="18"/>
          <w:szCs w:val="18"/>
          <w:color w:val="auto"/>
        </w:rPr>
        <w:t>” means the Company and the Company’s Subsidiaries, collectively.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For the avoidance of doubt, Guarantor and its controlled Subsidiaries shall be Affiliates of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means the Agreement and Plan of Merger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applicable Laws related to corruption and bribery, including the U.S. Foreign Corrupt Practices Act of 1977, as amended (15 USC §§ 78dd-1, et seq.), the Anti-Kickback Act of 1986, the U.K. Bribery Act 2010, the Anti-Bribery Laws of the People’s Republic of China, legislation adopted in furtherance of the OECD Convention on Combating Bribery of Foreign Public Officials in International Business Transactions and any other applicable Law of similar effect.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APG273</w:t>
      </w:r>
      <w:r>
        <w:rPr>
          <w:rFonts w:ascii="Times New Roman" w:cs="Times New Roman" w:eastAsia="Times New Roman" w:hAnsi="Times New Roman"/>
          <w:sz w:val="18"/>
          <w:szCs w:val="18"/>
          <w:color w:val="auto"/>
        </w:rPr>
        <w:t>” means the combination therapy of zumilokibart and APG333 targeting IL-13 and TSLP known to the Parties as “APG273”.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APG279</w:t>
      </w:r>
      <w:r>
        <w:rPr>
          <w:rFonts w:ascii="Times New Roman" w:cs="Times New Roman" w:eastAsia="Times New Roman" w:hAnsi="Times New Roman"/>
          <w:sz w:val="18"/>
          <w:szCs w:val="18"/>
          <w:color w:val="auto"/>
        </w:rPr>
        <w:t>” means the combination therapy of zumilokibart and APG990 targeting IL-13 and OX40L known to the Parties as “APG279”.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APG333</w:t>
      </w:r>
      <w:r>
        <w:rPr>
          <w:rFonts w:ascii="Times New Roman" w:cs="Times New Roman" w:eastAsia="Times New Roman" w:hAnsi="Times New Roman"/>
          <w:sz w:val="18"/>
          <w:szCs w:val="18"/>
          <w:color w:val="auto"/>
        </w:rPr>
        <w:t>” means the TSLP antagonist known to the Parties as “APG333”.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APG531</w:t>
      </w:r>
      <w:r>
        <w:rPr>
          <w:rFonts w:ascii="Times New Roman" w:cs="Times New Roman" w:eastAsia="Times New Roman" w:hAnsi="Times New Roman"/>
          <w:sz w:val="18"/>
          <w:szCs w:val="18"/>
          <w:color w:val="auto"/>
        </w:rPr>
        <w:t>” means the IL-31Rα antagonist known to the Parties as “APG531”.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APG808</w:t>
      </w:r>
      <w:r>
        <w:rPr>
          <w:rFonts w:ascii="Times New Roman" w:cs="Times New Roman" w:eastAsia="Times New Roman" w:hAnsi="Times New Roman"/>
          <w:sz w:val="18"/>
          <w:szCs w:val="18"/>
          <w:color w:val="auto"/>
        </w:rPr>
        <w:t>” means the IL-4Rα antagonist known to the Parties as “APG808”.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APG990</w:t>
      </w:r>
      <w:r>
        <w:rPr>
          <w:rFonts w:ascii="Times New Roman" w:cs="Times New Roman" w:eastAsia="Times New Roman" w:hAnsi="Times New Roman"/>
          <w:sz w:val="18"/>
          <w:szCs w:val="18"/>
          <w:color w:val="auto"/>
        </w:rPr>
        <w:t>” means the OX40L antagonist known to the Parties as “APG990”.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except a Saturday, a Sunday, or any other day on which commercial banks in the City of New York or Chicago are authorized or required by Law to be closed.</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Circumstance</w:t>
      </w:r>
      <w:r>
        <w:rPr>
          <w:rFonts w:ascii="Times New Roman" w:cs="Times New Roman" w:eastAsia="Times New Roman" w:hAnsi="Times New Roman"/>
          <w:sz w:val="18"/>
          <w:szCs w:val="18"/>
          <w:color w:val="auto"/>
        </w:rPr>
        <w:t xml:space="preserve">” means any positive material event or development or material change in circumstances with respect to the Company that (a) was not known to the Company Board as of or prior to the date of this Agreement (or if known, the material consequences of which were not known or reasonably foreseeable by the Company Board) and (b) does not relate to (i) any change in the market price or trading volume of the Company’s stock (including the Company Common Stock), (ii) any Company Alternative Transaction, or (iii) the Company meeting or exceeding any internal or analyst’s expectation, forecast, estimate, or prediction in respect of revenues, earnings, or other financial or operating metrics for any period; </w:t>
      </w:r>
      <w:r>
        <w:rPr>
          <w:rFonts w:ascii="Times New Roman" w:cs="Times New Roman" w:eastAsia="Times New Roman" w:hAnsi="Times New Roman"/>
          <w:sz w:val="18"/>
          <w:szCs w:val="18"/>
          <w:i w:val="1"/>
          <w:iCs w:val="1"/>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understood </w:t>
      </w:r>
      <w:r>
        <w:rPr>
          <w:rFonts w:ascii="Times New Roman" w:cs="Times New Roman" w:eastAsia="Times New Roman" w:hAnsi="Times New Roman"/>
          <w:sz w:val="18"/>
          <w:szCs w:val="18"/>
          <w:color w:val="auto"/>
        </w:rPr>
        <w:t>that in the case of the foregoing clauses (i) and (iii) the underlying cause of any such event or development or change may constitute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Circumstance.</w:t>
      </w:r>
    </w:p>
    <w:p>
      <w:pPr>
        <w:spacing w:after="0" w:line="18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Recommendation</w:t>
      </w:r>
      <w:r>
        <w:rPr>
          <w:rFonts w:ascii="Times New Roman" w:cs="Times New Roman" w:eastAsia="Times New Roman" w:hAnsi="Times New Roman"/>
          <w:sz w:val="18"/>
          <w:szCs w:val="18"/>
          <w:color w:val="auto"/>
        </w:rPr>
        <w:t>” means the Company Board or any committee thereof (i) withdraws, amends, modifies or qualifies the Company Board Recommendation or publicly states its intention to do any of the foregoing, (ii) approves, agrees to, accepts, endorses, adopts, recommends or submits or agrees to submit to a vote of the Company’s stockholders any Company Alternative Transaction, (iii) fails to recommend against any publicly announced Company Alternative Transaction (it being understood that failing to recommend against a publicly announced Company Alternative Transaction for a period of no more than five (5) business days following such announcement will not constitute a Change in Recommendation provided the Company Board has rejected such Company Alternative Transaction and affirmed the Company Board Recommendation by press release by the end of such five (5) business day period (or in the event that the Company Stockholders’ Meeting is scheduled to occur within such five (5) business day period, by the end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prior to the date of the Company Stockholders’ Meeting)), (iv) fails to publicly reaffirm by press release (without qualification) the Company Board Recommendation within five (5) business days after having been requested in writing by Parent to do so (or in the event that the Company Stockholders’ Meeting is scheduled to occur within such five (5) business day period, prior to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prior to the Company Stockholders’ Meeting), (v) takes any action to exempt any Person from the provisions of Section 203 of the DGCL or any other applicable state takeover statute, (vi) fails to make the Company Board Recommendation in the Proxy Statement, (vii) publicly announces or publicly discloses any intention to do any of the foregoing or (viii) commits or agrees to do any of the foregoing.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2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works council, labor, voluntary recognition, or similar labor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agreement with respect to any current or former employee of the Company or any Company Subsidiary or other Contract with a union, including a neutrality or accretion clause or agreement.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Alternative Transaction</w:t>
      </w:r>
      <w:r>
        <w:rPr>
          <w:rFonts w:ascii="Times New Roman" w:cs="Times New Roman" w:eastAsia="Times New Roman" w:hAnsi="Times New Roman"/>
          <w:sz w:val="18"/>
          <w:szCs w:val="18"/>
          <w:color w:val="auto"/>
        </w:rPr>
        <w:t>” means any proposal or offer from any Person (or “group,” within the meaning of Section 13(d) of the Exchange Act, of persons) other than Guarantor and its Subsidiaries (such person (a “</w:t>
      </w:r>
      <w:r>
        <w:rPr>
          <w:rFonts w:ascii="Times New Roman" w:cs="Times New Roman" w:eastAsia="Times New Roman" w:hAnsi="Times New Roman"/>
          <w:sz w:val="18"/>
          <w:szCs w:val="18"/>
          <w:b w:val="1"/>
          <w:bCs w:val="1"/>
          <w:i w:val="1"/>
          <w:iCs w:val="1"/>
          <w:color w:val="auto"/>
        </w:rPr>
        <w:t>Company Third Party</w:t>
      </w:r>
      <w:r>
        <w:rPr>
          <w:rFonts w:ascii="Times New Roman" w:cs="Times New Roman" w:eastAsia="Times New Roman" w:hAnsi="Times New Roman"/>
          <w:sz w:val="18"/>
          <w:szCs w:val="18"/>
          <w:color w:val="auto"/>
        </w:rPr>
        <w:t>”)), relating to, in a single transaction or series of related transactions, any (a) acquisition or license of assets of the Company or any Company Subsidiary equal to 20% or more of the Company and the Company Subsidiaries’ assets (taken as a whole) or to which 20% or more of the Company and the Company Subsidiaries’ revenues or earnings (taken as a whole) are attributable, (b) issuance or acquisition of 20% or more of the outstanding Shares and other equity and voting interests (calculated on a fully diluted basis) in the Company, (c) recapitalization, tender offer, or exchange offer that if consummated, would result in any Person or group beneficially owning 20% or more of the outstanding Shares and other equity and voting interests (calculated on a fully diluted basis) in the Company, or (d) merger, consolidation, amalgamation, share exchange, business combination, recapitalization, liquidation, dissolution, or similar transaction involving the Company that, if consummated, would result in any Person or group beneficially owning 20% or more of the outstanding Shares and other equity and voting interests (calculated on a fully diluted basis) in the Company, in each case, other than the Transactions.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Associate</w:t>
      </w:r>
      <w:r>
        <w:rPr>
          <w:rFonts w:ascii="Times New Roman" w:cs="Times New Roman" w:eastAsia="Times New Roman" w:hAnsi="Times New Roman"/>
          <w:sz w:val="18"/>
          <w:szCs w:val="18"/>
          <w:color w:val="auto"/>
        </w:rPr>
        <w:t>” means each current or former officer or other employee, or individual who is a current or former temporary employee, independent contractor, consultant, or director, of or to the Company or any Company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each share of Company Voting Common Stock or Company Non-Voting Common Stock,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Non-Voting Common Stock</w:t>
      </w:r>
      <w:r>
        <w:rPr>
          <w:rFonts w:ascii="Times New Roman" w:cs="Times New Roman" w:eastAsia="Times New Roman" w:hAnsi="Times New Roman"/>
          <w:sz w:val="18"/>
          <w:szCs w:val="18"/>
          <w:color w:val="auto"/>
        </w:rPr>
        <w:t>” means each share of non-voting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Voting Common Stock</w:t>
      </w:r>
      <w:r>
        <w:rPr>
          <w:rFonts w:ascii="Times New Roman" w:cs="Times New Roman" w:eastAsia="Times New Roman" w:hAnsi="Times New Roman"/>
          <w:sz w:val="18"/>
          <w:szCs w:val="18"/>
          <w:color w:val="auto"/>
        </w:rPr>
        <w:t>” means each share of voting common stock, par value $0.00001 per share,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w:t>
      </w:r>
      <w:r>
        <w:rPr>
          <w:rFonts w:ascii="Times New Roman" w:cs="Times New Roman" w:eastAsia="Times New Roman" w:hAnsi="Times New Roman"/>
          <w:sz w:val="18"/>
          <w:szCs w:val="18"/>
          <w:color w:val="auto"/>
        </w:rPr>
        <w:t>” means any (i) Contract between the Company or any Company Subsidiary, on the one hand, and any party other than the Company or any Company Subsidiary, on the other hand, or (ii) Contract pursuant to which the Company or any Company Subsidiary is otherwise bound (other than a Contract solely by and among the Company and the Company Subsidiaries).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Disclosure Schedule</w:t>
      </w:r>
      <w:r>
        <w:rPr>
          <w:rFonts w:ascii="Times New Roman" w:cs="Times New Roman" w:eastAsia="Times New Roman" w:hAnsi="Times New Roman"/>
          <w:sz w:val="18"/>
          <w:szCs w:val="18"/>
          <w:color w:val="auto"/>
        </w:rPr>
        <w:t>” means the disclosure schedule that has been prepared by the Company and delivered by the Company to Parent on the date of, and in accordance with the terms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Awards</w:t>
      </w:r>
      <w:r>
        <w:rPr>
          <w:rFonts w:ascii="Times New Roman" w:cs="Times New Roman" w:eastAsia="Times New Roman" w:hAnsi="Times New Roman"/>
          <w:sz w:val="18"/>
          <w:szCs w:val="18"/>
          <w:color w:val="auto"/>
        </w:rPr>
        <w:t>” means the Company Options, Company Restricted Stock Units and Company Restricted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Plan</w:t>
      </w:r>
      <w:r>
        <w:rPr>
          <w:rFonts w:ascii="Times New Roman" w:cs="Times New Roman" w:eastAsia="Times New Roman" w:hAnsi="Times New Roman"/>
          <w:sz w:val="18"/>
          <w:szCs w:val="18"/>
          <w:color w:val="auto"/>
        </w:rPr>
        <w:t>” means the Company’s 2023 Equity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ESPP</w:t>
      </w:r>
      <w:r>
        <w:rPr>
          <w:rFonts w:ascii="Times New Roman" w:cs="Times New Roman" w:eastAsia="Times New Roman" w:hAnsi="Times New Roman"/>
          <w:sz w:val="18"/>
          <w:szCs w:val="18"/>
          <w:color w:val="auto"/>
        </w:rPr>
        <w:t>” means the Company’s 2023 Employee Stock Purchase Plan, as amended by that certain amendment dated as of June 11, 2024.</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IT Assets</w:t>
      </w:r>
      <w:r>
        <w:rPr>
          <w:rFonts w:ascii="Times New Roman" w:cs="Times New Roman" w:eastAsia="Times New Roman" w:hAnsi="Times New Roman"/>
          <w:sz w:val="18"/>
          <w:szCs w:val="18"/>
          <w:color w:val="auto"/>
        </w:rPr>
        <w:t>” means hardware, software, systems, networks, databases, websites, applications and other information technology assets and equipment, in each case, that are owned, operated, used, or controlled by or for the Company or any Company Subsidiary and used in connection with the conduct of their businesses.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Lease</w:t>
      </w:r>
      <w:r>
        <w:rPr>
          <w:rFonts w:ascii="Times New Roman" w:cs="Times New Roman" w:eastAsia="Times New Roman" w:hAnsi="Times New Roman"/>
          <w:sz w:val="18"/>
          <w:szCs w:val="18"/>
          <w:color w:val="auto"/>
        </w:rPr>
        <w:t>” means any Company Contract pursuant to which real property is licensed, leased, subleased, used or otherwise occupied by the Company or a Company Subsidiary, as applicable, from another Person, including all amendments, extensions, renewals, guaranties and other agreements with respect thereto.</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Licensed IP</w:t>
      </w:r>
      <w:r>
        <w:rPr>
          <w:rFonts w:ascii="Times New Roman" w:cs="Times New Roman" w:eastAsia="Times New Roman" w:hAnsi="Times New Roman"/>
          <w:sz w:val="18"/>
          <w:szCs w:val="18"/>
          <w:color w:val="auto"/>
        </w:rPr>
        <w:t>” means all Intellectual Property Rights that are owned by a third party and licensed or sublicensed or purported by the Company to be licensed or sublicensed to the Company or any Company Subsidiary.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Licensed Registered IP</w:t>
      </w:r>
      <w:r>
        <w:rPr>
          <w:rFonts w:ascii="Times New Roman" w:cs="Times New Roman" w:eastAsia="Times New Roman" w:hAnsi="Times New Roman"/>
          <w:sz w:val="18"/>
          <w:szCs w:val="18"/>
          <w:color w:val="auto"/>
        </w:rPr>
        <w:t>” means any Patent, trademark, copyright, or domain name included in the Company Licensed IP that is exclusively licensed to the Company or any Company Subsidiary, that is registered or issued under the authority of any Governmental Body or internet domain name registrar, and any application for the registration of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a compensatory stock option to acquire Shares (whether granted by the Company pursuant to the Company Equity Plan, assumed by the Company in connection with any merger, acquisition, or similar transaction, or otherwise issued or granted by the Company).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Owned IP</w:t>
      </w:r>
      <w:r>
        <w:rPr>
          <w:rFonts w:ascii="Times New Roman" w:cs="Times New Roman" w:eastAsia="Times New Roman" w:hAnsi="Times New Roman"/>
          <w:sz w:val="18"/>
          <w:szCs w:val="18"/>
          <w:color w:val="auto"/>
        </w:rPr>
        <w:t>” means all Intellectual Property Rights that are owned or purported to be owned by the Company or any Company Subsidiary.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Owned Registered IP</w:t>
      </w:r>
      <w:r>
        <w:rPr>
          <w:rFonts w:ascii="Times New Roman" w:cs="Times New Roman" w:eastAsia="Times New Roman" w:hAnsi="Times New Roman"/>
          <w:sz w:val="18"/>
          <w:szCs w:val="18"/>
          <w:color w:val="auto"/>
        </w:rPr>
        <w:t>” means any Patent, trademark, copyright, or domain name included in the Company Owned IP that is registered or issued under the authority of any Governmental Body or internet domain name registrar, and any application for the registration of any of the foregoing.</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means the Company, any Company Subsidiary, and any of their respective current or former stockholders, optionholders, unitholders, members, Affiliates, or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preferred stock, $0.00001 par value per share,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Restricted Stock Unit</w:t>
      </w:r>
      <w:r>
        <w:rPr>
          <w:rFonts w:ascii="Times New Roman" w:cs="Times New Roman" w:eastAsia="Times New Roman" w:hAnsi="Times New Roman"/>
          <w:sz w:val="18"/>
          <w:szCs w:val="18"/>
          <w:color w:val="auto"/>
        </w:rPr>
        <w:t>” means a restricted stock unit with respect to Shares (whether granted by the Company pursuant to the Company Equity Plan, assumed by the Company in connection with any merger, acquisition, or similar transaction, or otherwise issued or granted by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Restricted Stock</w:t>
      </w:r>
      <w:r>
        <w:rPr>
          <w:rFonts w:ascii="Times New Roman" w:cs="Times New Roman" w:eastAsia="Times New Roman" w:hAnsi="Times New Roman"/>
          <w:sz w:val="18"/>
          <w:szCs w:val="18"/>
          <w:color w:val="auto"/>
        </w:rPr>
        <w:t>” means a restricted stock award with respect to Shares (whether granted by the Company pursuant to the Company Equity Plan, assumed by the Company in connection with any merger, acquisition, or similar transaction, or otherwise issued or granted by the Company).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Pre-Funded Warrants to purchase shares of Company Common Stock issued by the Company on October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legally binding agreement, contract, subcontract, lease, understanding, instrument, bond, debenture, note, option, warrant, warranty, purchase order, license, sublicense, insurance policy, benefit plan, or other legally binding commitment or undertaking of any nature inclusive of all amendments or modifications thereto (except, in each case, ordinary course of business purchase orders).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means the U.S. Department of Justice.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Plan</w:t>
      </w:r>
      <w:r>
        <w:rPr>
          <w:rFonts w:ascii="Times New Roman" w:cs="Times New Roman" w:eastAsia="Times New Roman" w:hAnsi="Times New Roman"/>
          <w:sz w:val="18"/>
          <w:szCs w:val="18"/>
          <w:color w:val="auto"/>
        </w:rPr>
        <w:t>” means any compensation, employment, consulting, salary, bonus, vacation, deferred compensation, incentive compensation, stock purchase, equity or equity-based, severance pay, termination pay, death benefit, disability benefit, hospitalization, medical, life or other welfare benefit-related insurance, flexible benefits, supplemental unemployment benefit, profit-sharing, pension or retirement, change of control, transaction bonus, retention, relocation, repatriation or expatriation plan, policy, program, agreement, or arrangement and each other “employee benefit plan” (as such term is defined in Section 3(3) of ERISA), or arrangement sponsored, maintained, contributed to, or required to be contributed to, by the Company or any Company Subsidiary or with respect to which the Company or any Company Subsidiary has any direct or indirect liability, including on account of any other Person that would be or, at any relevant time, would have been considered a single employer with the Company or any Company Subsidiary under the Code or ERISA (excluding workers’ compensation, unemployment compensation, and other government programs) for the benefit of, or relating to, any present or former employee, officer, consultant or non-employee individual service provider of the Company or any Company Subsidiary (or any dependent or beneficiary of such Person).</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encumbrance, encroachment, claim, infringement, interference, option, right of first refusal, preemptive right, community property interest, or other restrictions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 means legal limitations on enforceability: (a) arising from applicable bankruptcy and other similar Laws affecting the rights of creditors generally; (b) arising from Laws governing specific performance, injunctive relief, and other equitable remedies; and (c) based on any indemnity against liabilities under Securities Laws in connection with the offering, sale, or issuance of securities.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issued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Direct Investment Laws</w:t>
      </w:r>
      <w:r>
        <w:rPr>
          <w:rFonts w:ascii="Times New Roman" w:cs="Times New Roman" w:eastAsia="Times New Roman" w:hAnsi="Times New Roman"/>
          <w:sz w:val="18"/>
          <w:szCs w:val="18"/>
          <w:color w:val="auto"/>
        </w:rPr>
        <w:t>” means any Law that provides for review of the cross-border acquisition of any interest in or assets of a business or entity (including for national security or defense reasons) under the jurisdiction of an applicable Governmental Body.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Formation Date</w:t>
      </w:r>
      <w:r>
        <w:rPr>
          <w:rFonts w:ascii="Times New Roman" w:cs="Times New Roman" w:eastAsia="Times New Roman" w:hAnsi="Times New Roman"/>
          <w:sz w:val="18"/>
          <w:szCs w:val="18"/>
          <w:color w:val="auto"/>
        </w:rPr>
        <w:t>” means February 4, 2022.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an actual, intentional, and knowing Delaware common law fraud (and not a constructive fraud, negligent misrepresentation, or omission, or any form of fraud premised on recklessness or negligence) by Parent, Merger Sub, or the Company in the making of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means the United States Federal Food, Drug, and Cosmetic Act, as amended, and all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means the U.S. Federal Trade Commission.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Clinical Practices</w:t>
      </w:r>
      <w:r>
        <w:rPr>
          <w:rFonts w:ascii="Times New Roman" w:cs="Times New Roman" w:eastAsia="Times New Roman" w:hAnsi="Times New Roman"/>
          <w:sz w:val="18"/>
          <w:szCs w:val="18"/>
          <w:color w:val="auto"/>
        </w:rPr>
        <w:t>” means the applicable Laws and standards for clinical trials for pharmaceuticals (including all applicable requirements relating to protection of human subjects), as set forth in the FDCA and applicable regulations promulgated thereunder (including 21 C.F.R. Parts 50, 54, 56, and 312), as amended from time to time, and such standards of good clinical practice (including all applicable requirements relating to protection of human subjects) as are required by any Governmental Body in any other countries, including applicable regulations or guidelines from the International Conference on Harmonisation of Technical Requirements for Registration of Pharmaceuticals for Human Use, in which any Products are distributed, sold or intended to be sold, to the extent such standards are not less stringent than in the United States.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Laboratory Practices</w:t>
      </w:r>
      <w:r>
        <w:rPr>
          <w:rFonts w:ascii="Times New Roman" w:cs="Times New Roman" w:eastAsia="Times New Roman" w:hAnsi="Times New Roman"/>
          <w:sz w:val="18"/>
          <w:szCs w:val="18"/>
          <w:color w:val="auto"/>
        </w:rPr>
        <w:t>” means the applicable Laws and standards for non-clinical laboratory studies, including FDA’s regulations codified at 21 C.F.R. Part 58, as may be amended from time to time, and comparable foreign Laws.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Manufacturing Practices</w:t>
      </w:r>
      <w:r>
        <w:rPr>
          <w:rFonts w:ascii="Times New Roman" w:cs="Times New Roman" w:eastAsia="Times New Roman" w:hAnsi="Times New Roman"/>
          <w:sz w:val="18"/>
          <w:szCs w:val="18"/>
          <w:color w:val="auto"/>
        </w:rPr>
        <w:t>” means the applicable Laws and standards for current Good Manufacturing Practices promulgated by the FDA under the FDCA (including 21 C.F.R. Parts 210, 211, 600 and 601, as amended from time to time), Health Canada, the European Medicines Agency or under the European Union guide to Good Manufacturing Practice for medical products and any other applicable Regulatory Authority in each jurisdiction where the Company or a third party acting on its behalf is undertaking a clinical trial or any manufacturing activities as of or prior to the Effective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or (d) any court, arbitrator, or other tribunal.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an employee, officer, or representative of, or any Person otherwise acting in an official capacity for or on behalf of a Governmental Body, whether elected or appointed, including an officer or employee of a state-owned or state-controlled enterprise, a political party, political party official or employee, candidate for public office, or an officer or employee of a public international organization (such as the World Bank, United Nations, International Monetary Fund, or Organization for Economic Cooperation and Development).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(a) medical, biological or biohazardous material (including any infectious material, biological product, bodily fluid, stock, culture, diagnostic specimen, regulated animal, or medical waste) that is regulated as “hazardous” or “toxic” under any Environmental Law, (b) petroleum product, derivative or by-product, asbestos-containing material, radon, urea formaldehyde foam insulation, polychlorinated biphenyls, radioactive materials, toxic mold or fungi, or (c) other chemical, substance, material or waste that in relevant form, quantity or concentration is regulated as “hazardous” or “toxic” under any Environmental Law.</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xml:space="preserve">” means, as applicable, the following United States Laws and applicable foreign equivalents: (a) the U.S. Anti-Kickback Statute (42 U.S.C. § 1320a-7b(b)), the Beneficiary Inducement Civil Monetary Penalties Law (42 U.S.C. § 1320a-7a), the Stark Physician Self-Referral Law (42 U.S.C. § 1395nn), the Eliminating Kickbacks in Recovery Act of 2018 (18 U.S.C. § 220), the U.S. Civil False Claims Act (31 U.S.C. § 3729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42 U.S.C. §§ 1320a-7a, and 1320a-7b and the regulations promulgated pursuant to such statutes, and any comparable self-referral or fraud and abuse laws promulgated by any Governmental Body; (b) the U.S. Health Insurance Portability and Accountability Act of 1996 (42 U.S.C. § 1320d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by the Health Information Technology for Economic and Clinical Health Act (42 U.S.C. § 17921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and the regulations promulgated thereunder and any Law or regulation the purpose of which is to protect the privacy of individually-identifiable patient information; (c) Medicare (Title XVIII of the Social Security Act); (d) Medicaid (Title XIX of the Social Security Act); (e) the Patient Protection and Affordable Care Act of 2010, as amended by the Health Care and Education Affordability Reconciliation Act of 2010; (f) the Physician Payment Sunshine Act/Open Payments Law (42 U.S.C. § 1320a-7h); (g) the Exclusion Laws (42 U.S.C. § 1320a-7); (h) the FDCA, the PHSA, FDA regulations promulgated thereunder, or any similar Laws of foreign jurisdictions in which the Company or any Company Subsidiary currently conducts business or provide services; (i) the Veterans Health Care Act of 1992, the 340B Drug Pricing Program (42 U.S.C. § 256b), Federal Supply Schedule (38 U.S.C. § 8126), or any state pharmaceutical assistance program or U.S. Department of Veterans Affairs agreement; (j) the Prescription Drug Marketing Act of 1987; (k) quality, safety and accreditation standards and requirements of all applicable Governmental Bodies, (l) Good Clinical Practices, (m) Good Laboratory Practices, (n) Good Manufacturing Practices,</w:t>
      </w:r>
    </w:p>
    <w:p>
      <w:pPr>
        <w:spacing w:after="0" w:line="4" w:lineRule="exact"/>
        <w:rPr>
          <w:sz w:val="20"/>
          <w:szCs w:val="20"/>
          <w:color w:val="auto"/>
        </w:rPr>
      </w:pPr>
    </w:p>
    <w:p>
      <w:pPr>
        <w:jc w:val="both"/>
        <w:ind w:firstLine="8"/>
        <w:spacing w:after="0" w:line="252" w:lineRule="auto"/>
        <w:tabs>
          <w:tab w:leader="none" w:pos="2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applicable comparable Laws of other Regulatory Authorities and (p) any other requirements of Law that relates to the design, development, testing, studying, manufacturing, processing, storing, holding, shipping, transporting, distributing, importing or exporting, licensing, labeling, packaging, advertising, promotion, selling, pricing, or marketing of pharmaceutical products, or that is related to remuneration (including ownership) to or by physicians or other health care providers (including kickbacks) or the disclosure or reporting of the same, patient or program charges, record-keeping, claims processing,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products or services.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(a) any indebtedness for borrowed money (including the issuance of any debt security) to any Person (other than the Company or any Company Subsidiary); (b) any obligation evidenced by notes, bonds, debentures, or similar Contracts to any Person; (c) any obligation in respect of letters of credit and bankers’ acceptances (other than letters of credit used as security for leases); (d) any obligation to any Person (other than the Company or any Company Subsidiary) that grants a right to revenue and royalty payments from any Products to such Person; or (e) any guaranty of any such obligation described in clauses (a) through (d) of any Person (other than, in any case, accounts payable to trade creditors and accrued expenses, in each case, arising in the ordinary course of business).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all intellectual property rights throughout the world, whether registered or unregistered, including all:</w:t>
      </w:r>
    </w:p>
    <w:p>
      <w:pPr>
        <w:spacing w:after="0" w:line="31" w:lineRule="exact"/>
        <w:rPr>
          <w:sz w:val="20"/>
          <w:szCs w:val="20"/>
          <w:color w:val="auto"/>
        </w:rPr>
      </w:pPr>
    </w:p>
    <w:p>
      <w:pPr>
        <w:jc w:val="both"/>
        <w:ind w:firstLine="8"/>
        <w:spacing w:after="0" w:line="251" w:lineRule="auto"/>
        <w:tabs>
          <w:tab w:leader="none" w:pos="2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registrations, design patents and other patent rights, including all divisions, continuations, continuations-in-part, renewals, reissues, extensions, certificates of reexamination, utility models and supplementary protection certificates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(b) trademarks, service marks, trade dress, logos, brands, trade names, company names and similar indicia of source or origin, together with the goodwill connected with the use of and symbolized by any of the foregoing; (c) copyrights, works of authorship and database rights; (d) trade secrets, proprietary know-how, inventions, designs and, to the extent protected as confidential, processes, procedures, data, databases, drawings, specifications, records, formulae, methods and confidential business information (collectively,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(e) rights in software (including source code, object code and related documentation and specifications); and (f) internet domain names, social media account identifiers and URLS; in each case (a)-(f), including any applications, registrations, issuances, extensions and renewals for any of the foregoing with any Governmental Body or internet domain name registrar.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International Trade Laws</w:t>
      </w:r>
      <w:r>
        <w:rPr>
          <w:rFonts w:ascii="Times New Roman" w:cs="Times New Roman" w:eastAsia="Times New Roman" w:hAnsi="Times New Roman"/>
          <w:sz w:val="18"/>
          <w:szCs w:val="18"/>
          <w:color w:val="auto"/>
        </w:rPr>
        <w:t>” means any of the following: (a) any Laws concerning the importation of merchandise, items (including technology, services, and software), including those administered by U.S. Customs and Border Protection or the U.S. Department of Commerce, (b) any Laws concerning the exportation or re-exportation of items (including technology, services, and software), including those administered by the U.S. Department of Commerce or the U.S. Department of State, or (c) any economic sanctions administered by OFAC, the U.S. State Department, the United Nations, Canada, the European Union, or the United Kingdom.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 or any successor agency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with respect to an Entity, means with respect to the matter in question the actual knowledge of the individuals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Company Disclosure Schedule in each case, after reasonable inquiry of their direct reports reasonably expected to have knowledge of such matters.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United States, or foreign federal, state, local, municipal, national, multinational, or other law, statute, constitution, principle of common law, resolution, ordinance, code, edict, decree, rule, regulation, ruling, or other legal requirement issued, enacted, adopted, promulgated, implemented, or otherwise put into effect by or under the authority of any Governmental Body or under the authority of NASDAQ Global Markets.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an event, effect, change, occurrence, condition, or development (an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xml:space="preserve">”) that, individually or taken together, has had or would reasonably be expected to have a material adverse effect on the business, assets, properties, liabilities, operations, condition (financial or otherwise), or results of operations of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arising out of or resulting from any of the following shall be deemed either alone or in combination to constitute or will be taken into account when determining whether a Material Adverse Effect has occurred or would reasonably be expected to occur: (a) any change in the market price or trading volume of the Company’s stock (including the Company Common Stock); (b) the execution, announcement or consummation of the Transactions (including the identity of Guarantor, Parent or Merger Sub) (other than for purposes of any representation or warranty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3.12(k)</w:t>
      </w:r>
      <w:r>
        <w:rPr>
          <w:rFonts w:ascii="Times New Roman" w:cs="Times New Roman" w:eastAsia="Times New Roman" w:hAnsi="Times New Roman"/>
          <w:sz w:val="18"/>
          <w:szCs w:val="18"/>
          <w:color w:val="auto"/>
        </w:rPr>
        <w:t xml:space="preserve"> but subject to disclosures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 (c) general changes or developments in the clinical stage biopharmaceutical industry or changes in the economy generally or changes in other general business, financial, or market conditions (including interest rates, exchange rates, tariffs, trade wars, and credit markets); (d) general changes or developments in the fluctuations in the value of any currency; (e) (i) changes to any domestic, foreign or global political condition, (ii) any act of terrorism, war (whether or not declared), civil unrest, civil disobedience, protests, public demonstrations, insurrection, national or international calamity, sabotage or terrorism, (iii) any pandemic or epidemic or other outbreak of contagious diseases (or the escalation or worsening of any of the foregoing) or</w:t>
      </w:r>
    </w:p>
    <w:p>
      <w:pPr>
        <w:spacing w:after="0" w:line="6" w:lineRule="exact"/>
        <w:rPr>
          <w:sz w:val="20"/>
          <w:szCs w:val="20"/>
          <w:color w:val="auto"/>
        </w:rPr>
      </w:pPr>
    </w:p>
    <w:p>
      <w:pPr>
        <w:jc w:val="both"/>
        <w:ind w:firstLine="8"/>
        <w:spacing w:after="0" w:line="251" w:lineRule="auto"/>
        <w:tabs>
          <w:tab w:leader="none" w:pos="3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volcano, tsunami, earthquake, hurricane, tornado, other natural or man-made disaster, or any similar force majeure event; (f) the failure of the Acquired Companies to meet internal or analyst’s expectation, forecast, estimate, or prediction in respect of revenues, earnings, or other financial or operating metrics for any period; (g) any action taken (or failure to act) by the Company at the written direction of Parent and any action specifically required to be taken by the Company under this Agreement (excluding the requirement that the Company conduct its business in all material respects in the ordinary course); or (h) any change or proposed change in any Law or GAAP after the date hereof; </w:t>
      </w:r>
      <w:r>
        <w:rPr>
          <w:rFonts w:ascii="Times New Roman" w:cs="Times New Roman" w:eastAsia="Times New Roman" w:hAnsi="Times New Roman"/>
          <w:sz w:val="18"/>
          <w:szCs w:val="18"/>
          <w:i w:val="1"/>
          <w:iCs w:val="1"/>
          <w:color w:val="auto"/>
        </w:rPr>
        <w:t>it being understood</w:t>
      </w:r>
      <w:r>
        <w:rPr>
          <w:rFonts w:ascii="Times New Roman" w:cs="Times New Roman" w:eastAsia="Times New Roman" w:hAnsi="Times New Roman"/>
          <w:sz w:val="18"/>
          <w:szCs w:val="18"/>
          <w:color w:val="auto"/>
        </w:rPr>
        <w:t xml:space="preserve"> that the exceptions in clauses (a) and (f) shall not prevent, or otherwise affect a determination that the underlying cause of any such change, decline or failure referred to therein (if not otherwise falling within any of the exceptions provided by clauses (b) through (e) or (g) and (h) hereof) has been or would be reasonably expected to be a Material Adverse Effect or has otherwise resulted in or contributed to a Material Adverse Effect;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in the case of each of clauses (c), (d), (e) and (h), to the extent that such Effect adversely disproportionately affects the Acquired Companies, taken as a whole, compared to other similar biopharmaceutical companies, in which case only the incremental disproportionate adverse impact may be taken into account in determining whether there has been, or would reasonably expected to be, a Material Adverse Effect.</w:t>
      </w:r>
    </w:p>
    <w:p>
      <w:pPr>
        <w:spacing w:after="0" w:line="1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 Global Markets</w:t>
      </w:r>
      <w:r>
        <w:rPr>
          <w:rFonts w:ascii="Times New Roman" w:cs="Times New Roman" w:eastAsia="Times New Roman" w:hAnsi="Times New Roman"/>
          <w:sz w:val="18"/>
          <w:szCs w:val="18"/>
          <w:color w:val="auto"/>
        </w:rPr>
        <w:t>” means the NASDAQ Global Markets, or any successor stock exchange operated by the NASDAQ Global Markets or any successor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 of business</w:t>
      </w:r>
      <w:r>
        <w:rPr>
          <w:rFonts w:ascii="Times New Roman" w:cs="Times New Roman" w:eastAsia="Times New Roman" w:hAnsi="Times New Roman"/>
          <w:sz w:val="18"/>
          <w:szCs w:val="18"/>
          <w:color w:val="auto"/>
        </w:rPr>
        <w:t>” means the ordinary course of business consistent with past practice.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the certificate of incorporation, bylaws, memorandum of association, certificate of association, limited partnership agreement, operating agreement or equivalent governing document of an Entity, as amended and in effect on the date of the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Paragon</w:t>
      </w:r>
      <w:r>
        <w:rPr>
          <w:rFonts w:ascii="Times New Roman" w:cs="Times New Roman" w:eastAsia="Times New Roman" w:hAnsi="Times New Roman"/>
          <w:sz w:val="18"/>
          <w:szCs w:val="18"/>
          <w:color w:val="auto"/>
        </w:rPr>
        <w:t>” means Paragon Therapeutics, Inc.</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Paragon Agreement</w:t>
      </w:r>
      <w:r>
        <w:rPr>
          <w:rFonts w:ascii="Times New Roman" w:cs="Times New Roman" w:eastAsia="Times New Roman" w:hAnsi="Times New Roman"/>
          <w:sz w:val="18"/>
          <w:szCs w:val="18"/>
          <w:color w:val="auto"/>
        </w:rPr>
        <w:t>” means each and all of the following: (i) that certain Antibody Discovery and Option Agreement, dated February 24, 2022, by and between the Company and Paragon, as amended, (ii) 2023 Option Agreement, dated November 9, 2023, by and between the Company and Paragon,</w:t>
      </w:r>
    </w:p>
    <w:p>
      <w:pPr>
        <w:spacing w:after="0" w:line="1" w:lineRule="exact"/>
        <w:rPr>
          <w:sz w:val="20"/>
          <w:szCs w:val="20"/>
          <w:color w:val="auto"/>
        </w:rPr>
      </w:pPr>
    </w:p>
    <w:p>
      <w:pPr>
        <w:jc w:val="both"/>
        <w:ind w:firstLine="8"/>
        <w:spacing w:after="0" w:line="253" w:lineRule="auto"/>
        <w:tabs>
          <w:tab w:leader="none" w:pos="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IL-13 License Agreement, dated November 4, 2022, by and between the Company and Paragon, (iv) IL-4Rα License Agreement, dated April 3, 2023, by and between the Company and Paragon, (v) OX40L license Agreement, dated April 28, 2023, by and between the Company and Paragon and (vi) TSLP License Agreement, dated August 9, 2024, by and between the Company and Paragon (the “</w:t>
      </w:r>
      <w:r>
        <w:rPr>
          <w:rFonts w:ascii="Times New Roman" w:cs="Times New Roman" w:eastAsia="Times New Roman" w:hAnsi="Times New Roman"/>
          <w:sz w:val="18"/>
          <w:szCs w:val="18"/>
          <w:b w:val="1"/>
          <w:bCs w:val="1"/>
          <w:i w:val="1"/>
          <w:iCs w:val="1"/>
          <w:color w:val="auto"/>
        </w:rPr>
        <w:t>Paragon TSLP License</w:t>
      </w:r>
      <w:r>
        <w:rPr>
          <w:rFonts w:ascii="Times New Roman" w:cs="Times New Roman" w:eastAsia="Times New Roman" w:hAnsi="Times New Roman"/>
          <w:sz w:val="18"/>
          <w:szCs w:val="18"/>
          <w:color w:val="auto"/>
        </w:rPr>
        <w:t>”) and (vii) IL-31R License Agreement, dated June 17, 2026, by and between the Company and Paragon.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means an Effect that would prevent, materially delay, or materially impair the ability of Parent or Merger Sub to perform their respective obligations under this Agreement or to consummate the Transactions.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Parties</w:t>
      </w:r>
      <w:r>
        <w:rPr>
          <w:rFonts w:ascii="Times New Roman" w:cs="Times New Roman" w:eastAsia="Times New Roman" w:hAnsi="Times New Roman"/>
          <w:sz w:val="18"/>
          <w:szCs w:val="18"/>
          <w:color w:val="auto"/>
        </w:rPr>
        <w:t>” means Parent, Merger Sub, or any of their respective current, former, or future stockholders, optionholders, members, Representatives, or Affiliates.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Parent, Merger Sub, and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any of Parent, Merger Sub, or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w:t>
      </w:r>
      <w:r>
        <w:rPr>
          <w:rFonts w:ascii="Times New Roman" w:cs="Times New Roman" w:eastAsia="Times New Roman" w:hAnsi="Times New Roman"/>
          <w:sz w:val="18"/>
          <w:szCs w:val="18"/>
          <w:color w:val="auto"/>
        </w:rPr>
        <w:t>” means (a) any Encumbrance for Taxes that is either (i) not yet due and delinquent or (ii) being contested in good faith by appropriate proceedings and for which adequate reserves have been established in the consolidated financial statements of the Company to the extent required by GAAP, (b) any Encumbrance representing the right of any customer, supplier, or subcontractor (including mechanic’s, materialmen’s, carriers’, workmen’s, warehouseman’s, repairmen’s, landlords’, and similar liens granted or which arise in the ordinary course of business) that is either (i) not yet due and delinquent or (ii) being contested in good faith by appropriate proceedings and for which adequate reserves have been established in the consolidated financial statements of the Company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the Company, (e) any grants of non-exclusive licenses or sublicenses with respect to Intellectual Property Rights, in each case, granted by the Acquired Companies, (f) any defect, imperfection of title, or other Encumbrance not materially interfering with the conduct of the business of the Company and the Company Subsidiaries in the ordinary course, and (g) in the case of real property, any easement, right-of-way, encroachment, restriction, condition, or other similar Encumbrance incurred or suffered in the ordinary course of business and that, individually or in the aggregate, does not and would not impair the use (or contemplated use), utility, or value of the applicable real property or otherwise impair the present or contemplated business operations at such location, or zoning, entitlement, building, and other land use regulations imposed by Governmental Bodies having jurisdiction over such real property or that are otherwise set forth on a title report which are not violated in any material respect by such Leased Real Property or the current use thereof.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that constitutes “personal data,” “personal information,” “personally identifiable information,” “protected health information,” “biometric information,” or any similar term under any Privacy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PHSA</w:t>
      </w:r>
      <w:r>
        <w:rPr>
          <w:rFonts w:ascii="Times New Roman" w:cs="Times New Roman" w:eastAsia="Times New Roman" w:hAnsi="Times New Roman"/>
          <w:sz w:val="18"/>
          <w:szCs w:val="18"/>
          <w:color w:val="auto"/>
        </w:rPr>
        <w:t>” means the United States Public Health Service Act, as amended, and all regulations promulgated thereunder.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all applicable Laws governing the Processing, privacy or security of Personal Information and all legally binding guidance issued thereunder, including to the extent applicable to the Company or Company Subsidiaries, the California Consumer Privacy Act, as amended by the California Privacy Rights Act, HIPAA, the European Union General Data Protection Regulation (EU) 2016/679 and all Laws implementing it, the UK GDPR as defined in the Data Protection, Privacy and Electronic Communications (Amendments, etc.) (EU Exit) Regulations 2019, the UK Data Protection Act 2018, the Privacy and Electronic Communications Directive (2002/58/EC) and any national laws implementing such directive, any other Law concerning requirements for website and mobile application privacy policies and practices, or any outbound communications (including e-mail marketing, telemarketing and text messaging), tracking, and marketing, and binding industry standards such as, as applicable, the Payment Card Industry Data Security Standards.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(or its conjugates) means any operation or set of operations that is performed upon Personal Information or sets of Personal Information, whether or not by automatic means.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Processor</w:t>
      </w:r>
      <w:r>
        <w:rPr>
          <w:rFonts w:ascii="Times New Roman" w:cs="Times New Roman" w:eastAsia="Times New Roman" w:hAnsi="Times New Roman"/>
          <w:sz w:val="18"/>
          <w:szCs w:val="18"/>
          <w:color w:val="auto"/>
        </w:rPr>
        <w:t>” means any third-party processors and service providers appointed by Company or any Company Subsidiary to Process Personal Information for or on behalf of the Company or any Company Subsidiary.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w:t>
      </w:r>
      <w:r>
        <w:rPr>
          <w:rFonts w:ascii="Times New Roman" w:cs="Times New Roman" w:eastAsia="Times New Roman" w:hAnsi="Times New Roman"/>
          <w:sz w:val="18"/>
          <w:szCs w:val="18"/>
          <w:color w:val="auto"/>
        </w:rPr>
        <w:t>” means all products and product candidates of the Company and the Company Subsidiaries, including zumilokibart, APG531, APG990, APG333, APG808, APG279 and APG273, and any other all biological, vaccine and small molecule drug candidates, therapies, compounds, devices and products (or any components, salts, solvates, polymorphs, complexes, cocrystals or intermediates of any of the foregoing) that are being researched, tested, developed, labeled, manufactured, handled, packaged, stored, supplied, promoted, imported, exported, distributed, commercialized or sold by, or being licensed, sublicensed or held for license or sublicense by the Company or any Company Subsidiary, including in connection with the Company’s research programs targeting IL-31R, IL-22R and IL-18.</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the FDA or any Governmental Body (including the European Medicines Agency) that performs functions similar to those performed by the FDA or otherwise has jurisdiction over the safety, efficacy, approval, development, testing, labeling, manufacturing, storage, marketing, promotion, sale, commercialization, shipment, import, export, sale or distribution of pharmaceutical products, biological products, or any Product.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emission, spill, seepage, leak, escape, leaching, discharge, injection, pumping, pouring, emptying, dumping, disposal, migration, or release of Hazardous Materials from any source into or upon the environment.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officers, directors, employees, managers, attorneys, accountants, investment bankers, consultants, agents, financial advisors, other advisors, and other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(i) unauthorized, unlawful, or accidental acquisition of, access to, Processing of, loss of, or misuse of Personal Information; or (ii) a phishing, ransomware, denial of service (DoS) or other cyberattack on Company IT Assets.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Laws</w:t>
      </w:r>
      <w:r>
        <w:rPr>
          <w:rFonts w:ascii="Times New Roman" w:cs="Times New Roman" w:eastAsia="Times New Roman" w:hAnsi="Times New Roman"/>
          <w:sz w:val="18"/>
          <w:szCs w:val="18"/>
          <w:color w:val="auto"/>
        </w:rPr>
        <w:t>” means the Securities Act, the Exchange Act, and all other applicable securities Laws, in each case together with all rules and regulations and published policies thereunder and the rules and published policies of the Nasdaq Exchange.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respective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xml:space="preserve">” means any bona fide written proposal (on its most recently amended or modified terms, if amended or modified) made by a Company Third Party to enter into a Company Alternative Transaction that (i) did not result from a breach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(ii) the Company Board determines, in its good faith judgment, after consultation with outside financial advisor(s) and outside legal counsel, (A) is reasonably likely to be consummated in accordance with its terms and conditions and is not subject to a diligence or financing condition and (B) is on terms that, if consummated, would result in a transaction more favorable to the Company’s stockholders (solely in their capacity as such) from a financial point of view than the Transactions, in the case of each of (A) and (B) taking into account all financial, regulatory, legal and other aspects of such proposal (including certainty of closing) and the Person making the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“Superior Proposal,” the references to “20%” in the definition of Company Alternative Transaction shall be deemed to be references to “50%.”</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Laws</w:t>
      </w:r>
      <w:r>
        <w:rPr>
          <w:rFonts w:ascii="Times New Roman" w:cs="Times New Roman" w:eastAsia="Times New Roman" w:hAnsi="Times New Roman"/>
          <w:sz w:val="18"/>
          <w:szCs w:val="18"/>
          <w:color w:val="auto"/>
        </w:rPr>
        <w:t>” means any “moratorium,” “control share acquisition,” “fair price,” “supermajority,” “affiliate transactions,” “business combination statute or regulation,” or other similar state anti-takeover Laws and regulations.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means any and all U.S. federal, state, or local or non-U.S. (including provincial and territorial) taxes, fees, levies, duties, tariffs, imposts, and other actual taxes or similar fees, assessments or charges imposed by any Governmental Body (whether disputed or not), including income, franchise, windfall or other profits, gross receipts, property, sales, use, capital stock, payroll, severance, employment, social security (or similar), workers’ compensation, unemployment compensation, alternative or base erosion minimum, add-on minimum, estimated, commercial rent, net worth, excise, withholding, ad valorem, stamp, transfer, escheat, value added, gains, license, registration, and documentation taxes, together with any interest or penalty, addition to tax or additional amount thereto imposed, assessed or collected by or under the authority of any Governmental Body in respect of taxes, and including any liability for any such amounts as a result either of being a member of a group filing Tax Returns on a combined, consolidated, unitary or affiliated basis or of a contractual obligation to indemnify any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including any attachment thereto and any amendments thereof, filed with or submitted to, or required to be filed with or submitted to, any Governmental Body in connection with the determination, assessment, reporting, withholding, collection, or payment of any Tax.</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promulgated under the Code.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any material breach of any covenant or agreement set forth in this Agreement prior to the date of its termination that is a consequence of any act, or failure to act, undertaken by the breaching Party with the knowledge that the taking of such act, or failure to act, would, or would reasonably be likely to, result in such breach. Notwithstanding anything in the foregoing definition to the contrary, “Willful Breach” shall include the failure to consummate the Closing when required to do so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zumilokibart</w:t>
      </w:r>
      <w:r>
        <w:rPr>
          <w:rFonts w:ascii="Times New Roman" w:cs="Times New Roman" w:eastAsia="Times New Roman" w:hAnsi="Times New Roman"/>
          <w:sz w:val="18"/>
          <w:szCs w:val="18"/>
          <w:color w:val="auto"/>
        </w:rPr>
        <w:t>” means the IL-13 antagonist known to the Parties as “zumilokibart” and/or APG777.</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following terms shall have the meanings specified in the indicated Section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74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Appraisal Rights</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530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3.25</w:t>
            </w:r>
          </w:p>
        </w:tc>
        <w:tc>
          <w:tcPr>
            <w:tcW w:w="168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w:t>
            </w:r>
          </w:p>
        </w:tc>
        <w:tc>
          <w:tcPr>
            <w:tcW w:w="5300" w:type="dxa"/>
            <w:vAlign w:val="bottom"/>
            <w:gridSpan w:val="2"/>
            <w:shd w:val="clear" w:color="auto" w:fill="CCEEFF"/>
          </w:tcPr>
          <w:p>
            <w:pPr>
              <w:ind w:left="4740"/>
              <w:spacing w:after="0"/>
              <w:rPr>
                <w:sz w:val="20"/>
                <w:szCs w:val="20"/>
                <w:color w:val="auto"/>
              </w:rPr>
            </w:pPr>
            <w:r>
              <w:rPr>
                <w:rFonts w:ascii="Times New Roman" w:cs="Times New Roman" w:eastAsia="Times New Roman" w:hAnsi="Times New Roman"/>
                <w:sz w:val="18"/>
                <w:szCs w:val="18"/>
                <w:color w:val="auto"/>
              </w:rPr>
              <w:t>3.10</w:t>
            </w:r>
          </w:p>
        </w:tc>
        <w:tc>
          <w:tcPr>
            <w:tcW w:w="168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Buyer Plan</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5.6(b)</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5300" w:type="dxa"/>
            <w:vAlign w:val="bottom"/>
            <w:gridSpan w:val="2"/>
            <w:shd w:val="clear" w:color="auto" w:fill="CCEEFF"/>
          </w:tcPr>
          <w:p>
            <w:pPr>
              <w:ind w:left="474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Circumstance Matching Period</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5.3(d)(ii)(B)</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8.4(b)</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5300" w:type="dxa"/>
            <w:vAlign w:val="bottom"/>
            <w:gridSpan w:val="2"/>
            <w:shd w:val="clear" w:color="auto" w:fill="CCEEFF"/>
          </w:tcPr>
          <w:p>
            <w:pPr>
              <w:ind w:left="474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30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401(k) Plans</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5.6(e)</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Representative</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3.8(a)</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5.4(e)</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Subsidiaries</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Subsidiary</w:t>
            </w:r>
          </w:p>
        </w:tc>
        <w:tc>
          <w:tcPr>
            <w:tcW w:w="474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5.1(b)</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Law</w:t>
            </w:r>
          </w:p>
        </w:tc>
        <w:tc>
          <w:tcPr>
            <w:tcW w:w="530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Determination Notice</w:t>
            </w:r>
          </w:p>
        </w:tc>
        <w:tc>
          <w:tcPr>
            <w:tcW w:w="47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5.3(d)(ii)(A)</w:t>
            </w:r>
          </w:p>
        </w:tc>
      </w:tr>
      <w:tr>
        <w:trPr>
          <w:trHeight w:val="557"/>
        </w:trPr>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980" w:type="dxa"/>
            <w:vAlign w:val="bottom"/>
            <w:gridSpan w:val="3"/>
          </w:tcPr>
          <w:p>
            <w:pPr>
              <w:ind w:left="1220"/>
              <w:spacing w:after="0"/>
              <w:rPr>
                <w:sz w:val="20"/>
                <w:szCs w:val="20"/>
                <w:color w:val="auto"/>
              </w:rPr>
            </w:pPr>
            <w:r>
              <w:rPr>
                <w:rFonts w:ascii="Times New Roman" w:cs="Times New Roman" w:eastAsia="Times New Roman" w:hAnsi="Times New Roman"/>
                <w:sz w:val="14"/>
                <w:szCs w:val="14"/>
                <w:color w:val="auto"/>
              </w:rPr>
              <w:t>A-14</w:t>
            </w:r>
          </w:p>
        </w:tc>
      </w:tr>
      <w:tr>
        <w:trPr>
          <w:trHeight w:val="44"/>
        </w:trPr>
        <w:tc>
          <w:tcPr>
            <w:tcW w:w="4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48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
        </w:trPr>
        <w:tc>
          <w:tcPr>
            <w:tcW w:w="4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Date</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7.1(b)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3.16(a)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Health Care Programs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3.16(e)</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Exercise Date</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2.3(d)</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Offering Period</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2.3(d)</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3.8(b)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3.28</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Guarantor</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 SEC Documents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Indemnifying Parties</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5.7(b)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3.28</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Restraint</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Supplier</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3.27</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Matching Period</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5.3(d)(i)(C)</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Privacy Requirements</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3.12(j)</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3.24</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Date</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6.1(c)</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Authorizations</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3.16(a)</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Stockholder Approvals</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3.6</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Non-Voting Stockholder Approval</w:t>
            </w:r>
          </w:p>
        </w:tc>
        <w:tc>
          <w:tcPr>
            <w:tcW w:w="5040" w:type="dxa"/>
            <w:vAlign w:val="bottom"/>
            <w:gridSpan w:val="2"/>
            <w:shd w:val="clear" w:color="auto" w:fill="CCEEFF"/>
          </w:tcPr>
          <w:p>
            <w:pPr>
              <w:ind w:left="4480"/>
              <w:spacing w:after="0"/>
              <w:rPr>
                <w:sz w:val="20"/>
                <w:szCs w:val="20"/>
                <w:color w:val="auto"/>
              </w:rPr>
            </w:pPr>
            <w:r>
              <w:rPr>
                <w:rFonts w:ascii="Times New Roman" w:cs="Times New Roman" w:eastAsia="Times New Roman" w:hAnsi="Times New Roman"/>
                <w:sz w:val="18"/>
                <w:szCs w:val="18"/>
                <w:color w:val="auto"/>
              </w:rPr>
              <w:t>3.6</w:t>
            </w:r>
          </w:p>
        </w:tc>
        <w:tc>
          <w:tcPr>
            <w:tcW w:w="1680" w:type="dxa"/>
            <w:vAlign w:val="bottom"/>
            <w:shd w:val="clear" w:color="auto" w:fill="CCEEFF"/>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Voting Stockholder Approval</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3.6</w:t>
            </w:r>
          </w:p>
        </w:tc>
        <w:tc>
          <w:tcPr>
            <w:tcW w:w="168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Sanctioned Jurisdiction</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3.17(b)</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Proposal Notice</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5.3(d)(i)(A)</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Supporting Stockholders</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7.3(a)(iii)(B)</w:t>
            </w: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44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Agreement</w:t>
            </w:r>
          </w:p>
        </w:tc>
        <w:tc>
          <w:tcPr>
            <w:tcW w:w="44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Consent</w:t>
            </w:r>
          </w:p>
        </w:tc>
        <w:tc>
          <w:tcPr>
            <w:tcW w:w="504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3.6</w:t>
            </w:r>
          </w:p>
        </w:tc>
        <w:tc>
          <w:tcPr>
            <w:tcW w:w="1680" w:type="dxa"/>
            <w:vAlign w:val="bottom"/>
          </w:tcPr>
          <w:p>
            <w:pPr>
              <w:spacing w:after="0"/>
              <w:rPr>
                <w:sz w:val="20"/>
                <w:szCs w:val="20"/>
                <w:color w:val="auto"/>
              </w:rPr>
            </w:pPr>
          </w:p>
        </w:tc>
      </w:tr>
      <w:tr>
        <w:trPr>
          <w:trHeight w:val="539"/>
        </w:trPr>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720" w:type="dxa"/>
            <w:vAlign w:val="bottom"/>
            <w:gridSpan w:val="3"/>
          </w:tcPr>
          <w:p>
            <w:pPr>
              <w:ind w:left="960"/>
              <w:spacing w:after="0"/>
              <w:rPr>
                <w:sz w:val="20"/>
                <w:szCs w:val="20"/>
                <w:color w:val="auto"/>
              </w:rPr>
            </w:pPr>
            <w:r>
              <w:rPr>
                <w:rFonts w:ascii="Times New Roman" w:cs="Times New Roman" w:eastAsia="Times New Roman" w:hAnsi="Times New Roman"/>
                <w:sz w:val="14"/>
                <w:szCs w:val="14"/>
                <w:color w:val="auto"/>
              </w:rPr>
              <w:t>A-15</w:t>
            </w:r>
          </w:p>
        </w:tc>
      </w:tr>
      <w:tr>
        <w:trPr>
          <w:trHeight w:val="44"/>
        </w:trPr>
        <w:tc>
          <w:tcPr>
            <w:tcW w:w="42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VOTING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CERTIFICATE OF INCORPORATION OF THE SURVIVING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Dated as of [●],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name of the corporation is Apogee Therapeutics, Inc. (hereinafter, the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Corporation was originally formed as a corporation organized under the jurisdiction of the State of Delaware on June 9, 2023. This Certificate of Incorporation was first amended on July 13,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This Second Amended and Restated Certificate of Incorporation was approved by the holders of the requisite number of shares of the Corporation in accordance with Section 228 of the Delaware General Corporate Law (“DGCL”). This Second Amended and Restated Certificate of Incorporation has been duly adopted in accordance with the provisions of Sections 242 and 245 of the DGCL by the board of directors and the stockholders of the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address of the Corporation’s registered office in the State of Delaware is c/o Corporate Creations Network Inc., 1521 Concord Pike, Suite 201, Wilmington, DE 19803, New Castle County, USA, and the name of its registered agent at such address is Corporate Creations Network Inc.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purpose of the Corporation is to engage in any lawful act or activity for which a corporation may be organized under the DGCL.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The total number of shares of stock which the Corporation shall have authority to issue is 1,000 shares of common stock, par value $0.001 per share.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The business and affairs of the Corporation shall be managed by or under the direction of the board of directors, and the directors need not be elected by written ballot unless required by the bylaws of the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To the fullest extent permitted by the DGCL as the same exists or may hereafter be amended, no director or officer of the Corporation shall be personally liable to the Corporation or its stockholders for monetary damages for breach of fiduciary duty as a director or officer, as applicable. Solely for purposes of this Article IX, “officer” shall have the meaning provided in Section 102(b)(7) of the DGCL. Any amendment, alteration or repeal of this Article IX that adversely affects any right of a director or officer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To the extent allowed by Delaware law, the doctrine of corporate opportunity, or any other analogous doctrine, shall not apply with respect to the Corporation or any of its directors or stockholders and the Corporation renounces any expectancy that any of the directors or stockholders of the Corporation will offer any such corporate opportunity of which he or she may become aware to the Corporation, except, the doctrine of corporate opportunity shall apply with respect to any of the directors or stockholders of the Corporation that are employees, consultants or officers of the Corporation.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The Corporation reserves the right to amend and repeal any provision contained in this Certificate of Incorporation in the manner from time to time as prescribed by the laws of the State of Delaware. All rights herein conferred are granted subject to this reservation.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IN WITNESS WHEREOF, the undersigned has duly executed this Certificate of Incorporation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Certificate of Incorporation]</w:t>
      </w:r>
    </w:p>
    <w:p>
      <w:pPr>
        <w:spacing w:after="0" w:line="39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WRITTEN CONSENT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118110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88390" cy="2489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08839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to Acquire Apogee Therapeutics, Deepening Immunology Portfolio</w:t>
      </w:r>
    </w:p>
    <w:p>
      <w:pPr>
        <w:spacing w:after="0" w:line="229" w:lineRule="exact"/>
        <w:rPr>
          <w:sz w:val="20"/>
          <w:szCs w:val="20"/>
          <w:color w:val="auto"/>
        </w:rPr>
      </w:pPr>
    </w:p>
    <w:p>
      <w:pPr>
        <w:ind w:left="660" w:right="340" w:hanging="328"/>
        <w:spacing w:after="0" w:line="261"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acquisition adds a diverse pipeline of assets focused on elevating the standard of care for patients with dermatologic, respiratory and other related inflammatory and immunological diseases</w:t>
      </w:r>
    </w:p>
    <w:p>
      <w:pPr>
        <w:ind w:left="660" w:right="160" w:hanging="328"/>
        <w:spacing w:after="0" w:line="250"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lead asset, zumilokibart (APG777), is a late-stage, half-life extended monoclonal antibody targeting IL-13, in development for patients with atopic dermatitis</w:t>
      </w:r>
    </w:p>
    <w:p>
      <w:pPr>
        <w:ind w:left="660" w:right="100" w:hanging="328"/>
        <w:spacing w:after="0" w:line="250"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pipeline also includes combinations of its novel antibodies; APG273, a potential best-in-category long-acting combination targeting IL-13 and thymic stromal lymphopoietin (TSLP), is being developed in asthma</w:t>
      </w: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shareholders to receive $135.11 per share in cash, for a total equity value of approximately $10.9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to hold investor conference call today, June 22, at 8:00 a.m. CT</w:t>
      </w:r>
    </w:p>
    <w:p>
      <w:pPr>
        <w:spacing w:after="0" w:line="20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NORTH CHICAGO, Ill. and SAN FRANCISCO and BOSTON, June 22, 2026 /PRNewswire/ </w:t>
      </w:r>
      <w:r>
        <w:rPr>
          <w:rFonts w:ascii="Times New Roman" w:cs="Times New Roman" w:eastAsia="Times New Roman" w:hAnsi="Times New Roman"/>
          <w:sz w:val="18"/>
          <w:szCs w:val="18"/>
          <w:color w:val="auto"/>
        </w:rPr>
        <w:t>– AbbVie (NYSE: ABBV) and Apogee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APGE) (“Apogee”) today announced they have entered into a definitive agreement under which AbbVie will acquire Apogee and its diverse pipeline of multiple clinical-stage candidates in development across inflammatory and immunological diseases, including atopic dermatitis (AD) and asthma. The acquisition complements AbbVie’s existing immunology portfolio and accelerates AbbVie’s clinical presence in the respiratory space.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AbbVie will acquire all outstanding shares of Apogee for $135.11 per share in cash. The transaction values Apogee at a total equity value of approximately $10.9 billion. The boards of directors of both companies have unanimously approved the transaction. This transaction is expected to close in the third quarter of 2026, subject to customary closing conditions, including Apogee shareholder approval and receipt of regulatory approvals.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more than two decades, AbbVie has led and shaped the field of immunology bringing the science, scale and expertise needed to address some of the most complex diseases,” said Robert A. Michael, chairman and chief executive officer, AbbVie. “The acquisition of Apogee further builds on our existing leadership, strengthening our ability to deliver innovative medicines to patients who need better options while also creating significant long-term value for shareholders. Apogee’s pipeline adds highly differentiated clinical-stage assets, further expanding our robust immunology portfolio in areas of significant patient need, including atopic dermatitis and asthma. With our deep scientific expertise and proven capabilities, we are uniquely positioned to rapidly advance these programs and continue to transform the standard of care in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3" w:name="page114"/>
    <w:bookmarkEnd w:id="113"/>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This acquisition holds potential for substantial shareholder value creation with mega-blockbuster peak sales potential across Apogee’s pipeline of assets, including its lead asset, zumilokibart (APG777), a subcutaneous half-life extended monoclonal antibody targeting IL-13, being developed in AD and APG273, a combination of zumilokibart and APG333, an anti-TSLP half-life extended monoclonal antibody, being developed in asthma.</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transaction reflects the strength of Apogee’s vision, our team’s dedication and the significant progress we’ve made advancing zumilokibart and our differentiated pipeline,” said Michael Henderson, M.D., chief executive officer, Apogee. “Since our founding, we’ve focused on developing transformative therapies for patients with inflammatory diseases while creating value for shareholders. This transaction delivers substantial shareholder value and positions our programs to reach their full potential. We are deeply grateful to the patients, physicians and investigators who helped make this milestone possible. We believe AbbVie can advance zumilokibart and our portfolio while expanding their impact for patients worldwide.”</w:t>
      </w:r>
    </w:p>
    <w:p>
      <w:pPr>
        <w:spacing w:after="0" w:line="17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Zumilokibart targets IL-13, a critical cytokine in type 2 inflammation, and a central driver of inflammatory diseases like AD and asthma. Specifically in AD, a large majority of patients do not achieve simultaneous itch and skin improvement which represents an opportunity for the development of novel treatments that not only provide better skin clearance and itch resolution but also improve convenience with less frequent dosing. In its Phase 2 clinical trial, zumilokibart attained clinically significant results, with approximately two-thirds of patients on treatment achieving significant skin clearance at 16 weeks, along with notable improvements in itch reduction and overall disease control. These findings support its potential best-in-category profile, including strong efficacy and significantly improved dosing, in patients with AD. Longer-term data from the same trial also supports highly convenient maintenance regimens of either quarterly or twice a year dosing. The safety profile of zumilokibart is favorable and consistent with other medicines in its class, and the molecule has the potential to be evaluated in several additional inflammatory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75" w:right="399" w:bottom="1440" w:gutter="0" w:footer="0" w:header="0"/>
        </w:sectPr>
      </w:pPr>
    </w:p>
    <w:bookmarkStart w:id="114" w:name="page115"/>
    <w:bookmarkEnd w:id="114"/>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Beyond zumilokibart, Apogee has built a broader pipeline of novel antibodies targeting multiple validated inflammatory pathways. APG273 combines zumilokibart with APG333, an antibody that blocks TSLP, a signaling protein that acts as an early trigger of inflammation in the lungs. Phase 1 data showed that APG333 has a long half-life and was able to suppress relevant type 2 inflammatory markers for up to six months after dosing. The Phase 1 data with APG333 and positive interim results from a phase 1b study of zumilokibart in asthma, supports the potential of the APG273 combination with quarterly or twice-yearly injections in asthma.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w:t>
      </w:r>
    </w:p>
    <w:p>
      <w:pPr>
        <w:spacing w:after="0" w:line="3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Under the terms of the definitive agreement, AbbVie will acquire all outstanding Apogee common stock for $135.11 per share in cash. The proposed transaction is subject to customary closing conditions, including receipt of regulatory approvals and approval by Apogee shareholders. Fairmount Funds Management LLC and Venrock Associates have entered into voting agreements in support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transaction is expected to be accretive to AbbVie’s adjusted diluted earnings per share (EPS) beginning in 2032.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Conference Call Details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AbbVie will host an investor conference call today, June 22, at 8:00 a.m. CT to discuss this transaction. The call will be webcast through AbbVie’s Investor Relations website at investors.abbvie.com. An archived edition of the call will be available after 9:00 a.m. CT. Presentation materials for the investor conference call are available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AbbVie’s financial advisor is Morgan Stanley &amp; Co. LLC and Paul, Weiss, Rifkind, Wharton &amp; Garrison LLP is serving as legal advisor.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Apogee’s financial advisors are Jefferies LLC and Goldman Sachs &amp; Co. LLC, and Kirkland &amp; Ellis LLP is serving as legal advisor.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AbbVie in Immunology</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AbbVie is relentless in our pursuit to redefine the standard of care for patients living with immune-mediated conditions, with the goal of helping them live a life free from the limitations of their disease. For more than 20 years, AbbVie has led and helped shape the field of immunology through groundbreaking science and trusted medicines. Building on deep expertise across gastroenterology, rheumatology and dermatology, and other areas of high unmet need, we continue to invest in a broad and differentiated pipeline – spanning innovative modalities, novel mechanisms of actions and next-generation approaches designed to conquer the complex biology underlying immune-mediated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 xml:space="preserve">Today, more than 1 million patients worldwide are treated with AbbVie’s immunology medicines, approved in more than 175 countries across 19 immune-mediated diseases that impact adult and pediatric populations. As we work to strengthen our legacy and drive the next wave of innovation, we remain focused on delivering meaningful progress for patients and expanding access to our medicines. For more information, please </w:t>
      </w:r>
      <w:r>
        <w:rPr>
          <w:rFonts w:ascii="Times New Roman" w:cs="Times New Roman" w:eastAsia="Times New Roman" w:hAnsi="Times New Roman"/>
          <w:sz w:val="18"/>
          <w:szCs w:val="18"/>
          <w:u w:val="single" w:color="auto"/>
          <w:color w:val="auto"/>
        </w:rPr>
        <w:t>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www.abbvie.com/immunology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AbbVie</w:t>
      </w:r>
    </w:p>
    <w:p>
      <w:pPr>
        <w:spacing w:after="0" w:line="22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AbbVie’s mission is to discover and deliver innovative medicines and solutions that solve serious health issues today and address the medical challenges of tomorrow. We strive to have a remarkable impact on people’s lives across several key therapeutic areas including immunology, neuroscience and oncology</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 xml:space="preserve">– and products and services in our Allergan Aesthetics portfolio. For more information about AbbVie, please visit us at </w:t>
      </w:r>
      <w:r>
        <w:rPr>
          <w:rFonts w:ascii="Times New Roman" w:cs="Times New Roman" w:eastAsia="Times New Roman" w:hAnsi="Times New Roman"/>
          <w:sz w:val="18"/>
          <w:szCs w:val="18"/>
          <w:u w:val="single" w:color="auto"/>
          <w:color w:val="auto"/>
        </w:rPr>
        <w:t>www.abbvie.com</w:t>
      </w:r>
      <w:r>
        <w:rPr>
          <w:rFonts w:ascii="Times New Roman" w:cs="Times New Roman" w:eastAsia="Times New Roman" w:hAnsi="Times New Roman"/>
          <w:sz w:val="18"/>
          <w:szCs w:val="18"/>
          <w:color w:val="auto"/>
        </w:rPr>
        <w:t xml:space="preserve">. Follow @abbvie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 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Apogee Therapeutics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Apogee Therapeutics is a clinical-stage biotechnology company advancing novel biologics with potential for differentiated efficacy and dosing in the largest I&amp;I markets, including for the treatment of AD, asthma,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 Zumilokibart, the company’s most advanced program, is being initially developed for the treatment of AD, which is the largest and one of the least penetrated I&amp;I markets, as well as asthma and EoE. With four validated targets in its portfolio, Apogee is seeking to achieve best-in-class efficacy and dosing through monotherapies and combinations of its novel antibodies. Based on a broad pipeline and depth of expertise, the company believes it can deliver value and meaningful benefit to patients underserved by today’s standard of care. For more information, please visit </w:t>
      </w:r>
      <w:r>
        <w:rPr>
          <w:rFonts w:ascii="Times New Roman" w:cs="Times New Roman" w:eastAsia="Times New Roman" w:hAnsi="Times New Roman"/>
          <w:sz w:val="18"/>
          <w:szCs w:val="18"/>
          <w:u w:val="single" w:color="auto"/>
          <w:color w:val="auto"/>
        </w:rPr>
        <w:t>https://apogeetherapeutics.com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accessing the Investors section of Apogee’s website at </w:t>
      </w:r>
      <w:r>
        <w:rPr>
          <w:rFonts w:ascii="Times New Roman" w:cs="Times New Roman" w:eastAsia="Times New Roman" w:hAnsi="Times New Roman"/>
          <w:sz w:val="18"/>
          <w:szCs w:val="18"/>
          <w:u w:val="single" w:color="auto"/>
          <w:color w:val="auto"/>
        </w:rPr>
        <w:t>https://investors.apogeetherapeutics.com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68"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w:t>
      </w:r>
      <w:hyperlink r:id="rId25">
        <w:r>
          <w:rPr>
            <w:rFonts w:ascii="Times New Roman" w:cs="Times New Roman" w:eastAsia="Times New Roman" w:hAnsi="Times New Roman"/>
            <w:sz w:val="17"/>
            <w:szCs w:val="17"/>
            <w:color w:val="auto"/>
          </w:rPr>
          <w:t xml:space="preserve">Information About Our Common Stock” in the definitive proxy statement for Apogee’s 2026 Annual Meeting of Stockholders, filed with the SEC on </w:t>
        </w:r>
        <w:r>
          <w:rPr>
            <w:rFonts w:ascii="Times New Roman" w:cs="Times New Roman" w:eastAsia="Times New Roman" w:hAnsi="Times New Roman"/>
            <w:sz w:val="17"/>
            <w:szCs w:val="17"/>
            <w:u w:val="single" w:color="auto"/>
            <w:color w:val="0000EE"/>
          </w:rPr>
          <w:t>April</w:t>
        </w:r>
      </w:hyperlink>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u w:val="single" w:color="auto"/>
            <w:color w:val="0000EE"/>
          </w:rPr>
          <w:t>24, 2026</w:t>
        </w:r>
        <w:r>
          <w:rPr>
            <w:rFonts w:ascii="Times New Roman" w:cs="Times New Roman" w:eastAsia="Times New Roman" w:hAnsi="Times New Roman"/>
            <w:sz w:val="17"/>
            <w:szCs w:val="17"/>
            <w:color w:val="000000"/>
          </w:rPr>
          <w:t>, and in Apogee’s Current Reports on Form 8-K, filed with the SEC on</w:t>
        </w:r>
        <w:r>
          <w:rPr>
            <w:rFonts w:ascii="Times New Roman" w:cs="Times New Roman" w:eastAsia="Times New Roman" w:hAnsi="Times New Roman"/>
            <w:sz w:val="17"/>
            <w:szCs w:val="17"/>
            <w:color w:val="0000EE"/>
          </w:rPr>
          <w:t xml:space="preserve"> </w:t>
        </w:r>
      </w:hyperlink>
      <w:hyperlink r:id="rId26">
        <w:r>
          <w:rPr>
            <w:rFonts w:ascii="Times New Roman" w:cs="Times New Roman" w:eastAsia="Times New Roman" w:hAnsi="Times New Roman"/>
            <w:sz w:val="17"/>
            <w:szCs w:val="17"/>
            <w:u w:val="single" w:color="auto"/>
            <w:color w:val="0000EE"/>
          </w:rPr>
          <w:t xml:space="preserve">April 24, 2026 </w:t>
        </w:r>
      </w:hyperlink>
      <w:hyperlink r:id="rId25">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w:hyperlink r:id="rId154">
        <w:r>
          <w:rPr>
            <w:rFonts w:ascii="Times New Roman" w:cs="Times New Roman" w:eastAsia="Times New Roman" w:hAnsi="Times New Roman"/>
            <w:sz w:val="17"/>
            <w:szCs w:val="17"/>
            <w:u w:val="single" w:color="auto"/>
            <w:color w:val="0000EE"/>
          </w:rPr>
          <w:t>June 12, 2026</w:t>
        </w:r>
      </w:hyperlink>
      <w:hyperlink r:id="rId25">
        <w:r>
          <w:rPr>
            <w:rFonts w:ascii="Times New Roman" w:cs="Times New Roman" w:eastAsia="Times New Roman" w:hAnsi="Times New Roman"/>
            <w:sz w:val="17"/>
            <w:szCs w:val="17"/>
            <w:color w:val="000000"/>
          </w:rPr>
          <w:t>. Information regarding AbbVie’s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155">
        <w:r>
          <w:rPr>
            <w:rFonts w:ascii="Times New Roman" w:cs="Times New Roman" w:eastAsia="Times New Roman" w:hAnsi="Times New Roman"/>
            <w:sz w:val="17"/>
            <w:szCs w:val="17"/>
            <w:u w:val="single" w:color="auto"/>
            <w:color w:val="0000EE"/>
          </w:rPr>
          <w:t>March 23, 2026</w:t>
        </w:r>
      </w:hyperlink>
      <w:r>
        <w:rPr>
          <w:rFonts w:ascii="Times New Roman" w:cs="Times New Roman" w:eastAsia="Times New Roman" w:hAnsi="Times New Roman"/>
          <w:sz w:val="17"/>
          <w:szCs w:val="17"/>
          <w:color w:val="000000"/>
        </w:rPr>
        <w:t xml:space="preserve">, and in AbbVie’s Current Report on Form 8-K, filed with the SEC on </w:t>
      </w:r>
      <w:hyperlink r:id="rId28">
        <w:r>
          <w:rPr>
            <w:rFonts w:ascii="Times New Roman" w:cs="Times New Roman" w:eastAsia="Times New Roman" w:hAnsi="Times New Roman"/>
            <w:sz w:val="17"/>
            <w:szCs w:val="17"/>
            <w:u w:val="single" w:color="auto"/>
            <w:color w:val="0000EE"/>
          </w:rPr>
          <w:t>May 12, 2026</w:t>
        </w:r>
      </w:hyperlink>
      <w:r>
        <w:rPr>
          <w:rFonts w:ascii="Times New Roman" w:cs="Times New Roman" w:eastAsia="Times New Roman" w:hAnsi="Times New Roman"/>
          <w:sz w:val="17"/>
          <w:szCs w:val="17"/>
          <w:color w:val="00000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cs="Times New Roman" w:eastAsia="Times New Roman" w:hAnsi="Times New Roman"/>
          <w:sz w:val="17"/>
          <w:szCs w:val="17"/>
          <w:u w:val="single" w:color="auto"/>
          <w:color w:val="000000"/>
        </w:rPr>
        <w:t>www.sec.gov</w:t>
      </w:r>
      <w:r>
        <w:rPr>
          <w:rFonts w:ascii="Times New Roman" w:cs="Times New Roman" w:eastAsia="Times New Roman" w:hAnsi="Times New Roman"/>
          <w:sz w:val="17"/>
          <w:szCs w:val="17"/>
          <w:color w:val="000000"/>
        </w:rPr>
        <w:t xml:space="preserve"> or by accessing the Investors section of Apogee’s website at </w:t>
      </w:r>
      <w:r>
        <w:rPr>
          <w:rFonts w:ascii="Times New Roman" w:cs="Times New Roman" w:eastAsia="Times New Roman" w:hAnsi="Times New Roman"/>
          <w:sz w:val="17"/>
          <w:szCs w:val="17"/>
          <w:u w:val="single" w:color="auto"/>
          <w:color w:val="000000"/>
        </w:rPr>
        <w:t>https://investors.apogeetherapeutics.com</w:t>
      </w:r>
      <w:r>
        <w:rPr>
          <w:rFonts w:ascii="Times New Roman" w:cs="Times New Roman" w:eastAsia="Times New Roman" w:hAnsi="Times New Roman"/>
          <w:sz w:val="17"/>
          <w:szCs w:val="17"/>
          <w:color w:val="000000"/>
        </w:rPr>
        <w:t xml:space="preserve"> and the Investors section of AbbVie’s website at </w:t>
      </w:r>
      <w:r>
        <w:rPr>
          <w:rFonts w:ascii="Times New Roman" w:cs="Times New Roman" w:eastAsia="Times New Roman" w:hAnsi="Times New Roman"/>
          <w:sz w:val="17"/>
          <w:szCs w:val="17"/>
          <w:u w:val="single" w:color="auto"/>
          <w:color w:val="000000"/>
        </w:rPr>
        <w:t>https://investors.abbvie.com</w:t>
      </w:r>
      <w:r>
        <w:rPr>
          <w:rFonts w:ascii="Times New Roman" w:cs="Times New Roman" w:eastAsia="Times New Roman" w:hAnsi="Times New Roman"/>
          <w:sz w:val="17"/>
          <w:szCs w:val="17"/>
          <w:color w:val="00000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184"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AbbVie Contacts</w:t>
            </w: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6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Marianne Ostrogorski</w:t>
            </w:r>
          </w:p>
        </w:tc>
        <w:tc>
          <w:tcPr>
            <w:tcW w:w="6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Liz Shea</w:t>
            </w:r>
          </w:p>
        </w:tc>
      </w:tr>
      <w:tr>
        <w:trPr>
          <w:trHeight w:val="194"/>
        </w:trPr>
        <w:tc>
          <w:tcPr>
            <w:tcW w:w="2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marianne.ostrogorski@abbvie.com</w:t>
            </w: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liz.shea@abbvie.com</w:t>
            </w:r>
          </w:p>
        </w:tc>
      </w:tr>
      <w:tr>
        <w:trPr>
          <w:trHeight w:val="439"/>
        </w:trPr>
        <w:tc>
          <w:tcPr>
            <w:tcW w:w="2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Apogee Contacts</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Andi Rose / Aura Reinhard</w:t>
            </w:r>
          </w:p>
        </w:tc>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Noel Kurdi</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Joele Frank, Wilkinson Brimmer Katcher</w:t>
            </w:r>
          </w:p>
        </w:tc>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VP, Investor Relations</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(212) 355-4449</w:t>
            </w:r>
          </w:p>
        </w:tc>
        <w:tc>
          <w:tcPr>
            <w:tcW w:w="1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6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noel.kurdi@apogeetherapeutics.com</w:t>
            </w:r>
          </w:p>
        </w:tc>
      </w:tr>
      <w:tr>
        <w:trPr>
          <w:trHeight w:val="4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 Budwick</w:t>
            </w:r>
          </w:p>
        </w:tc>
        <w:tc>
          <w:tcPr>
            <w:tcW w:w="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1AB Media</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194"/>
        </w:trPr>
        <w:tc>
          <w:tcPr>
            <w:tcW w:w="56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dan@1abmedia.com</w:t>
            </w: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649"/>
        </w:trPr>
        <w:tc>
          <w:tcPr>
            <w:tcW w:w="1480" w:type="dxa"/>
            <w:vAlign w:val="bottom"/>
            <w:tcBorders>
              <w:top w:val="single" w:sz="8" w:color="auto"/>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00"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2482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18, 2026, is by and among AbbVie Inc., a Delaware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Andor LLC, a Delaware limited liability company and a wholly owned Subsidiary of Guarantor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Andor Merger Co.,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each of the stockholders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right="1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Stockholder is the record and beneficial owner (as defined in Rule 13d-3 under the Exchange Act)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par value $0.00001 per share (“</w:t>
      </w:r>
      <w:r>
        <w:rPr>
          <w:rFonts w:ascii="Times New Roman" w:cs="Times New Roman" w:eastAsia="Times New Roman" w:hAnsi="Times New Roman"/>
          <w:sz w:val="18"/>
          <w:szCs w:val="18"/>
          <w:u w:val="single" w:color="auto"/>
          <w:color w:val="auto"/>
        </w:rPr>
        <w:t>Voting Common Stock</w:t>
      </w:r>
      <w:r>
        <w:rPr>
          <w:rFonts w:ascii="Times New Roman" w:cs="Times New Roman" w:eastAsia="Times New Roman" w:hAnsi="Times New Roman"/>
          <w:sz w:val="18"/>
          <w:szCs w:val="18"/>
          <w:color w:val="auto"/>
        </w:rPr>
        <w:t>”) of the Company (as defined below) and (ii) the shares of non-voting common stock, par value $0.00001 per share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xml:space="preserve">”) of the Company that are set forth under such Stockholder’s name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attached hereto (such shares,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hereof, Guarantor, Parent, Merger Sub and Apogee Therapeutics, Inc.,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an Agreement and Plan of Merger, dated as of the date hereof and as it may be amended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provides, among other things, for Merger Sub to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 upon the terms and subject to the conditions set forth in the Merger Agreement (capitalized terms used but not otherwise defined herein shall have the respective meanings ascribed to such terms in the Merger Agreement); and</w:t>
      </w:r>
    </w:p>
    <w:p>
      <w:pPr>
        <w:spacing w:after="0" w:line="17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the Merger Agreement and as an inducement to Guarantor’s, Parent’s and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 willingness to enter into the Merger Agreement, each of the Stockholders (solely in the Stockholder’s capacity as a holder of the Subject Shares), and severally and not jointly with the other Stockholder, has agreed to enter into this Agreement.</w:t>
      </w:r>
    </w:p>
    <w:p>
      <w:pPr>
        <w:spacing w:after="0" w:line="17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other good and valuable consideration, the receipt and sufficiency of which are hereby acknowledged, the parties hereto, intending to be legally bound, do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VOTE</w:t>
      </w:r>
    </w:p>
    <w:p>
      <w:pPr>
        <w:spacing w:after="0" w:line="20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 Subject to the terms of this Agreement, each Stockholder hereby irrevocably and unconditionally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time this Agreement is in effect, at any annual or special meeting of the stockholders of the Company, however called, including any adjournment, recess or postponement thereof, and in connection with any action proposed to be taken by written consent of the stockholders of the Company, each Stockholder shall, in each case to the fullest extent that the Subject Shares are entitled to vote thereon: (a) cause all of the Subject Shares to be counted as present thereat for purposes of determining a quorum; and (b) be present (in person or by proxy) and vote (or cause to be voted if another Person is the holder of record of any Subject Shares beneficially owned by the Stockholder), or deliver (or cause to be delivered) a written consent with respect to, all of its Subject Shares (i) in favor of (A) the adoption and approval of the Merger Agreement and the approval of the Merger and (B) the approval of any proposal to adjourn, recess or postpone any meeting of the holders of Voting Common Stock to a later date if the Company or Parent proposes or requests such postponement, recess or adjournment in accordance with Section 5.4 of the Merger Agreement, and (C) the approval of any other proposal considered and voted upon by the Company stockholders at any meeting of the holders of Voting Common Stock or Non-Voting Common Stock necessary for consummation of the Merger and the other transactions contemplated by the Merger Agreement, and (ii) against any (A) Company Alternative Transaction, (B) action or agreement that would result in a breach of any covenant, representation or warranty or any other obligation or agreement of the Company contained in the Merger Agreement, (C) against any change in membership of the Company Board that is not recommended or approved by the Company Board and (D) other action that is intended or could reasonably be expected to impede or interfere with or materially delay the Merger or any other transactions contemplated by the Merger Agreement. Until the Effective Time, each Stockholder shall retain at all times the right to vote their Subject Shares in such Stockholder’s sole discretion, and without any other limitation, on any matters other than those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are at any time or from time to time presented for consideration to the Company’s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0" w:name="page121"/>
    <w:bookmarkEnd w:id="120"/>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Each Stockholder hereby revokes (or agrees to cause to be revoked) any and all previous proxies granted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Subject Shares. In the event that a Stockholder has not delivered to the Company, at least two (2) business days prior to the applicable meeting of the stockholders of the Company or deadline for action by written consent, as applicable, a duly executed irrevocable proxy card or written consent, as applicable, directing that the applicable Subject Shares be voted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any other failure by such Stockholder to act in accordance with such Stockholder’s obligation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such Stockholder hereby grants a proxy appointing Parent as the Stockholder’s attorney-in-fact and proxy, with full power of substitution, for and in such Stockholder’s name, to vote, express consent or dissent, or otherwise to utilize such voting power in the manner contemplated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proxy and related interest granted by each Stockholder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irrevocable and is granted in consideration of Guarantor, Parent and Merger Sub entering into this Agreement and the Merger Agreement and incurring certain related fees and expenses. The proxy granted by each Stockholder shall not be exercised to vote, consent or act on any matter except as contemplated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Notwithstanding anything herein to the contrary, the proxy granted by each Stockholder shall be revoked, terminated and of no further force or effect, automatically and without further action, upon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Stockholder represents and warrants, as to such Stockholder on a several basis, to Guarantor, Parent and Merger Sub, that:</w:t>
      </w: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21" w:name="page122"/>
    <w:bookmarkEnd w:id="121"/>
    <w:p>
      <w:pPr>
        <w:ind w:right="2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Organization and Good Standing</w:t>
      </w:r>
      <w:r>
        <w:rPr>
          <w:rFonts w:ascii="Times New Roman" w:cs="Times New Roman" w:eastAsia="Times New Roman" w:hAnsi="Times New Roman"/>
          <w:sz w:val="18"/>
          <w:szCs w:val="18"/>
          <w:color w:val="auto"/>
        </w:rPr>
        <w:t>. The Stockholder is duly organized, validly existing and in good standing under the laws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and the Stockholder has full power and authority, and is duly authorized to make, enter into and carry out the terms of this Agreement and to perform its obligations hereunder.</w:t>
      </w:r>
    </w:p>
    <w:p>
      <w:pPr>
        <w:spacing w:after="0" w:line="171"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Authority; Binding Agreement</w:t>
      </w:r>
      <w:r>
        <w:rPr>
          <w:rFonts w:ascii="Times New Roman" w:cs="Times New Roman" w:eastAsia="Times New Roman" w:hAnsi="Times New Roman"/>
          <w:sz w:val="18"/>
          <w:szCs w:val="18"/>
          <w:color w:val="auto"/>
        </w:rPr>
        <w:t>. The Stockholder has all requisite legal right, power, authority and capacity to execute, deliver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under this Agreement and to consummate the transactions contemplated hereby. This Agreement has been duly and validly executed and delivered by the Stockholder, and constitutes a legal, valid and binding obligation of the Stockholder enforceable against the Stockholder in accordance with its terms and no other action is necessary to authorize the execution and delivery by the Stockholder or the performance of the Stockholder’s obligations hereunder (in each case, subject to the Enforceability Exceptions).</w:t>
      </w:r>
    </w:p>
    <w:p>
      <w:pPr>
        <w:spacing w:after="0" w:line="17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color w:val="auto"/>
        </w:rPr>
        <w:t>. The execution and delivery of this Agreement by the Stockholder does not, and the performance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 of the Stockholder’s obligations hereunder and the consummation by the Stockholder of the transactions contemplated hereby will not (a) violate any Law or Legal Restraint applicable to the Stockholder or the Subject Shares or (b) except as may be required by applicable U.S. Federal securities Laws, require any consent, approval, order, authorization or other action by, or filing with or notice to, any Person (including any Governmental Body) under, violate or constitute a default (with or without the giving of notice or the lapse of time or both) under, or give rise to any right of termination, cancellation or acceleration under, or result in the creation of any Encumbrances on the Subject Shares pursuant to, any (i) Contract, agreement, trust, commitment, Legal Restraint, stipulation, settlement or other instrument binding on the Stockholder or the Subject Shares, (ii) any applicable Law or (iii) any provision of the organizational or governing documents of the Stockholder, if applicable; in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185"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2.4 </w:t>
      </w:r>
      <w:r>
        <w:rPr>
          <w:rFonts w:ascii="Times New Roman" w:cs="Times New Roman" w:eastAsia="Times New Roman" w:hAnsi="Times New Roman"/>
          <w:sz w:val="17"/>
          <w:szCs w:val="17"/>
          <w:b w:val="1"/>
          <w:bCs w:val="1"/>
          <w:u w:val="single" w:color="auto"/>
          <w:color w:val="auto"/>
        </w:rPr>
        <w:t>Ownership of Subject Shares; Total Shares</w:t>
      </w:r>
      <w:r>
        <w:rPr>
          <w:rFonts w:ascii="Times New Roman" w:cs="Times New Roman" w:eastAsia="Times New Roman" w:hAnsi="Times New Roman"/>
          <w:sz w:val="17"/>
          <w:szCs w:val="17"/>
          <w:color w:val="auto"/>
        </w:rPr>
        <w:t>. The Stockholder is the record or beneficial owner (as defined in Rule 13d-3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Act) of the Subject Shares and has good and marketable title to the Subject Shares free and clear of any Encumbrances, except for Encumbrances as may be applicable under the Securities Act or other applicable securities Laws. Except pursuant to this Agreement, no Person has any contractual or other right or obligation to purchase or otherwise acquire all or any portion of the Subject Shares. Except for the Subject Shares, as of the date hereof, the Stockholder is not the record or beneficial owner of any (a) Voting Common Stock or voting securities of the Company, (b) Non-Voting Common Stock or</w:t>
      </w:r>
    </w:p>
    <w:p>
      <w:pPr>
        <w:spacing w:after="0" w:line="3" w:lineRule="exact"/>
        <w:rPr>
          <w:sz w:val="20"/>
          <w:szCs w:val="20"/>
          <w:color w:val="auto"/>
        </w:rPr>
      </w:pPr>
    </w:p>
    <w:p>
      <w:pPr>
        <w:ind w:right="20" w:firstLine="8"/>
        <w:spacing w:after="0" w:line="255" w:lineRule="auto"/>
        <w:tabs>
          <w:tab w:leader="none" w:pos="2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options, warrants or other rights to acquire, or securities convertible into or exchangeable for (in each case, whether currently, upon lapse of time, following the satisfaction of any conditions, upon the occurrence of any event or any combination of the foregoing), any capital stock, voting securities or securities convertible into or exchangeable for Company Common Stock or other voting securities of the Company.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2" w:name="page123"/>
    <w:bookmarkEnd w:id="122"/>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color w:val="auto"/>
        </w:rPr>
        <w:t>. Other than as provided in this Agreement, the Stockholder has full voting power with respect to all of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stockholders’ agreement, proxy, voting trust or other agreement or arrangement with respect to the voting of the Subject Shares.</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The Stockholder has been represented by or had the opportunity to be represented by independent counsel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choosing and has had the right and opportunity to consult with its attorney, and to the extent, if any, that the Stockholder desired, the Stockholder availed itself of such right and opportunity.</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color w:val="auto"/>
        </w:rPr>
        <w:t>. With respect to the Stockholder, as of the date hereof, there is no action, suit, claim, proceeding, investigation,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arbitration or inquiry pending against, or, to the knowledge of the Stockholder, threatened in writing against, and there is no Legal Restraint imposed upon, the Stockholder or any of the Stockholder’s properties or assets (including the Subject Shares)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GUARANTOR, PARENT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Guarantor, Parent and Merger Sub represents and warrants, jointly and severally, to each Stockholder that:</w:t>
      </w:r>
    </w:p>
    <w:p>
      <w:pPr>
        <w:spacing w:after="0" w:line="221"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Authorization</w:t>
      </w:r>
      <w:r>
        <w:rPr>
          <w:rFonts w:ascii="Times New Roman" w:cs="Times New Roman" w:eastAsia="Times New Roman" w:hAnsi="Times New Roman"/>
          <w:sz w:val="18"/>
          <w:szCs w:val="18"/>
          <w:color w:val="auto"/>
        </w:rPr>
        <w:t>. Each of Guarantor, Parent and Merger Sub is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The consummation of the transactions contemplated hereby are within each of Guarantor’s Parent’s and Merger Sub’s corporate powers and have been duly authorized by all necessary corporate actions on the part of Guarantor, Parent and Merger Sub. Each of Guarantor, Parent and Merger Sub has all requisite corporate power and authority to execute, deliver and perform its respective obligations under this Agreement and to consummate the transactions contemplated hereby.</w:t>
      </w:r>
    </w:p>
    <w:p>
      <w:pPr>
        <w:spacing w:after="0" w:line="179"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color w:val="auto"/>
        </w:rPr>
        <w:t>. Each of Guarantor, Parent and Merger Sub has duly executed and delivered this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constitutes a legal, valid and binding obligation of Guarantor, Parent and Merger Sub, enforceable against Guarantor, Parent and Merger Sub in accordance with its terms (in each case, subject to the Enforceability Exceptions).</w:t>
      </w:r>
    </w:p>
    <w:p>
      <w:pPr>
        <w:spacing w:after="0" w:line="17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Company Common Stock</w:t>
      </w:r>
      <w:r>
        <w:rPr>
          <w:rFonts w:ascii="Times New Roman" w:cs="Times New Roman" w:eastAsia="Times New Roman" w:hAnsi="Times New Roman"/>
          <w:sz w:val="18"/>
          <w:szCs w:val="18"/>
          <w:color w:val="auto"/>
        </w:rPr>
        <w:t>. None of Guarantor, Parent, Merger Sub or their respective Affiliates is the beneficial owner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COVENANTS OF THE STOCKHOLDERS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Each Stockholder hereby covenants and agrees, with respect to itself, that until the valid termination of this Agreement in accordance with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No Transfer; No Inconsistent Arrangements</w:t>
      </w:r>
      <w:r>
        <w:rPr>
          <w:rFonts w:ascii="Times New Roman" w:cs="Times New Roman" w:eastAsia="Times New Roman" w:hAnsi="Times New Roman"/>
          <w:sz w:val="18"/>
          <w:szCs w:val="18"/>
          <w:color w:val="auto"/>
        </w:rPr>
        <w:t>. Except as provided hereunder or under the Merger Agreement,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hereof and until this Agreement is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each Stockholder agrees not to, directly or indirectly, (a) create or permit to exist any Encumbrances, other than Encumbrances as may be applicable under the Securities Act or other applicable securities Laws, on all or any portion of the Subject Shares, (b) transfer, sell, assign, gift, hedge, pledge or otherwise dispose (whether by sale, liquidation, dissolution, dividend or distribution) of,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all or any portion of the Subject Shares, or any right or interest therein (or consent to any of the foregoing), (c) enter into any Contract with respect to any Transfer of the Subject Shares, or any interest therein,</w:t>
      </w:r>
    </w:p>
    <w:p>
      <w:pPr>
        <w:spacing w:after="0" w:line="4" w:lineRule="exact"/>
        <w:rPr>
          <w:sz w:val="20"/>
          <w:szCs w:val="20"/>
          <w:color w:val="auto"/>
        </w:rPr>
      </w:pPr>
    </w:p>
    <w:p>
      <w:pPr>
        <w:ind w:left="260" w:hanging="252"/>
        <w:spacing w:after="0"/>
        <w:tabs>
          <w:tab w:leader="none" w:pos="2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permit the grant of any proxy, power-of-attorney or other authorization or consent in or with respect to all or any portion of the Subject Shares,</w:t>
      </w:r>
    </w:p>
    <w:p>
      <w:pPr>
        <w:spacing w:after="0" w:line="9" w:lineRule="exact"/>
        <w:rPr>
          <w:rFonts w:ascii="Times New Roman" w:cs="Times New Roman" w:eastAsia="Times New Roman" w:hAnsi="Times New Roman"/>
          <w:sz w:val="18"/>
          <w:szCs w:val="18"/>
          <w:color w:val="auto"/>
        </w:rPr>
      </w:pPr>
    </w:p>
    <w:p>
      <w:pPr>
        <w:ind w:firstLine="8"/>
        <w:spacing w:after="0" w:line="251" w:lineRule="auto"/>
        <w:tabs>
          <w:tab w:leader="none" w:pos="2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or permit the deposit of all or any portion of the Subject Shares into a voting trust or enter into a voting agreement or arrangement with respect to all or any portion of the Subject Shares, (f) tender any Subject Shares into any tender or exchange offer or (g) take or permit any other action that would reasonably be expected to prevent, impede or delay such Stockholder from performing its obligations under this Agreement in any material respect or to consummate the transactions contemplated hereby or seek to do so or solicit any of the foregoing actions, or cause or permit any other Person to take any of the foregoing actions.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Stockholder agrees that any such prohibited action may and should be enjoined. If any involuntary Transfer of all or any portion of the Subject Shares shall occur (including, if applicable, a sale by a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 Notwithstanding the foregoing, each Stockholder may Transfer any or all of the Subject Shares, in accordance with applicable Law, to such Stockholder’s controlled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Affiliate shall be bound by all of the terms and provisions hereof, in which case such Affiliate shall be deemed a Stockholder hereunder.</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No Exercise of Appraisal Rights; Actions</w:t>
      </w:r>
      <w:r>
        <w:rPr>
          <w:rFonts w:ascii="Times New Roman" w:cs="Times New Roman" w:eastAsia="Times New Roman" w:hAnsi="Times New Roman"/>
          <w:sz w:val="18"/>
          <w:szCs w:val="18"/>
          <w:color w:val="auto"/>
        </w:rPr>
        <w:t>. Each Stockholder (a) forever waives and agrees not to exercise any appraisal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dissenters’ rights (including under Section 262 of the DGCL) in respect of all or any portion of its Subject Shares that may arise with respect to the Merger and (b) agrees not to commence or join in any class action with respect to, any claim, derivative or otherwise, against Guarantor, Parent, Merger Sub, the Company or any of their respective successors relating to the negotiation, execution or delivery of this Agreement or the Merger Agreement or the consummation of the Merger, including any action, suit, claim or proceeding (i) challenging the validity of, or seeking to enjoin the operation of, any provision of this Agreement or the Merger Agreement or (ii) alleging breach of any fiduciary duty of any Person in connection with the negotiation and entry into the Merger Agreement or the transactions contemplated thereby, but excluding any suit alleging a breach of the Merger Agreement.</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Documentation and Information</w:t>
      </w:r>
      <w:r>
        <w:rPr>
          <w:rFonts w:ascii="Times New Roman" w:cs="Times New Roman" w:eastAsia="Times New Roman" w:hAnsi="Times New Roman"/>
          <w:sz w:val="18"/>
          <w:szCs w:val="18"/>
          <w:color w:val="auto"/>
        </w:rPr>
        <w:t>. Except (i) as required by applicable Law (including the filing of a Schedule 13D or Schedule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with the SEC which may include this Agreement as an exhibit thereto), (ii) communications and announcements that are consistent with information required by law to be contained in a Schedule 13D or Schedule 13D amendment or is contained in the joint press release contemplated by Section 5.10 of the Merger Agreement, and (iii) customary internal communications to its and its controlled Affiliates’ limited partners that are subject to confidentiality obligations, prior to the consummation of the Merger, each Stockholder shall not, and shall direct its Representatives not to, make any public announcement regarding this Agreement, the Merger Agreement or the transactions contemplated hereby or thereby without the prior written consent of Parent. Each Stockholder consents to and hereby authorizes Guarantor, Parent and Merger Sub to publish and disclose in all documents and schedules filed with the SEC, and any press release or other disclosure document that Guarantor, Parent or Merger Sub reasonably determines to be necessary in connection with the Merger and any transactions contemplated by the Merger Agreement, such Stockholder’s identity and ownership of the Subject Shares, the existence of this Agreement and the nature of such Stockholder’s commitments and obligations under this Agreement, and each Stockholder acknowledges that Guarantor, Parent and Merger Sub may, in Guarantor’s, Parent’s or Merger Sub’s sole discretion, file this Agreement or a form hereof with the SEC or any other Governmental Body; provided that, other than any such disclosure that describes the transactions contemplated by the Merger Agreement or this Agreement as a factual matter, each Stockholder shall have a reasonable opportunity to review and comment upon any such disclosure prior to any such filing, which comments Guarantor, Parent and Merger Sub shall consider in good faith. Each Stockholder agrees to promptly give Parent any information that is reasonably necessary for the preparation of any such disclosure documents, and each Stockholder agrees to promptly notify Parent of any required corrections with respect to any written information supplied by it specifically for use in any such disclosure document, if and to the extent that such Stockholder shall become aware that any such information shall have become false or misleading in any material respect. Promptly after the execution and delivery of this Agreement, Parent and each Stockholder shall cooperate to prepare and file with the SEC any required disclosure statements on Schedule 13D or any amendments or supplements thereto, as applicable, relating to the Merger Agreement, this Agreement and the transactions contemplated hereby and thereby.</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5" w:name="page126"/>
    <w:bookmarkEnd w:id="125"/>
    <w:p>
      <w:pPr>
        <w:ind w:right="80" w:firstLine="648"/>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4.4 </w:t>
      </w:r>
      <w:r>
        <w:rPr>
          <w:rFonts w:ascii="Times New Roman" w:cs="Times New Roman" w:eastAsia="Times New Roman" w:hAnsi="Times New Roman"/>
          <w:sz w:val="17"/>
          <w:szCs w:val="17"/>
          <w:b w:val="1"/>
          <w:bCs w:val="1"/>
          <w:u w:val="single" w:color="auto"/>
          <w:color w:val="auto"/>
        </w:rPr>
        <w:t>No Solicitation</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prior to the consummation of the Merger, each Stockholder shall not, nor shall it authorize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knowingly permit any of its Representatives to, directly or indirectly, (a) take any action or omit to take any action that the Company is not permitted to take or omit to take pursuant to subclauses (A), (B), (D) or (E) of Section 5.3(a) of the Merger Agreement or (b) approve, authorize, endorse, agree to or recommend any proposal that constitutes, or would reasonably be expected to lead to, an Company Alternative Transaction (provided that nothing herein restricts a Stockholder from providing its views to the Company Board regarding any proposal received by the Company). Each Stockholder shall, and shall cause its Subsidiaries and its and their respective Affiliates (to the extent it has the legal ability to cause) to, and shall direct its Representatives to, immediately cease and terminate, any solicitation, encouragement, discussion, activity or negotiation commenced prior to the date of this Agreement with any Person and such Person’s Representatives (other than with Guarantor, Parent, Merger Sub or each of their Representatives) with respect to any inquiry, proposal, discussion, negotiation, or offer that constitutes, or may reasonably be expected to constitute or lead to, a Company Alternative Transaction.</w:t>
      </w:r>
    </w:p>
    <w:p>
      <w:pPr>
        <w:spacing w:after="0" w:line="173"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Adjustments; Additional Shares</w:t>
      </w:r>
      <w:r>
        <w:rPr>
          <w:rFonts w:ascii="Times New Roman" w:cs="Times New Roman" w:eastAsia="Times New Roman" w:hAnsi="Times New Roman"/>
          <w:sz w:val="18"/>
          <w:szCs w:val="18"/>
          <w:color w:val="auto"/>
        </w:rPr>
        <w:t>. In the event of any stock split, reverse stock split, stock dividend, merger,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 reclassification, combination, exchange of shares or similar transaction with respect to the capital stock of the Company that affects the Subject Shares, the terms of this Agreement shall apply to the resulting securities. In the event that each Stockholder acquires any additional Company Common Stock or other interests in or with respect to the Company, such Company Common Stock or other interests shall, without further action of the parties hereto, be subject to the provisions of this Agreement, and the number of the Subject Shares of such Stockholder will be deemed amended accordingly. Each Stockholder shall promptly notify Guarantor, Parent and Merger Sub of any such event.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and shall be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deemed to have been duly given upon receipt) by delivery by hand, by registered or certified mail (postage prepaid, return receipt requested), or by email to the respective parties hereto at the following addresses (or at such other address for a party hereto as shall be specified by like notice): (a) if to Guarantor, Parent, or Merger Sub, in accordance with the provisions of the Merger Agreement and (b) if to a Stockholder, to such Stockholder’s address or email address set forth on a signature page hereto, or to such other address or email address as such party hereto may hereafter specify in writing for the purpose by notice to each other party hereto.</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automatically, without any notice or other action by any Person, upon the first to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 the valid termination of the Merger Agreement in accordance with its terms, (b) the Effective Time, (c) receipt of the Required Company Stockholder Approvals, (d) any modification or amendment to the Merger Agreement that reduces the amount, changes the form or otherwise adversely affects the consideration payable to a Stockholder pursuant to the Merger Agreement as in effect on the date hereof and (e) the mutual written consent of all of the parties hereto. Upon termination of this Agreement, no party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hereto from liability for any willful breach of this Agreement or from fraud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termination of this Agreement and (ii)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termination of this Agreement.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Any provision of this Agreement may be amended or waived if such amendment or waiver is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signed, in the case of an amendment, by each party hereto and by the Company or, in the case of a waiver, by each party hereto against whom the waiver is to be effective. Any purported amendment or waiver not made in accordance with the foregoing shall be null and void. No failure or delay by any party hereto in exercising any right, power or privilege hereunder shall operate as a waiver thereof nor shall any single or partial exercise thereof preclude any other or further exercise thereof or the exercise of any other right, power or privilege.</w:t>
      </w:r>
    </w:p>
    <w:p>
      <w:pPr>
        <w:spacing w:after="0" w:line="179"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incurring such expenses, whether or not the Merger is consummated.</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Binding Effect; No Third Party Beneficiaries; Assignment</w:t>
      </w:r>
      <w:r>
        <w:rPr>
          <w:rFonts w:ascii="Times New Roman" w:cs="Times New Roman" w:eastAsia="Times New Roman" w:hAnsi="Times New Roman"/>
          <w:sz w:val="18"/>
          <w:szCs w:val="18"/>
          <w:color w:val="auto"/>
        </w:rPr>
        <w:t>. The parties hereto hereby agree that their respective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and covenants set forth herein are solely for the benefit of the other parties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is an express third party beneficiary of this Agreement, and is entitled to directly enforce the provisions hereof (including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to remedies hereunder. Neither this Agreement nor any of the rights, interests or obligations hereunder shall be assigned by any of the parties hereto (whether by operation of law or otherwise) without the prior written consent of the other parties hereto, except to the extent that such rights, interests or obligations are assigned pursuant to a Transfer expressly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No assignment by any party hereto shall relieve such party hereto of any of its obligations hereunder. Subject to the foregoing, this Agreement will be binding upon, inure to the benefit of and be enforceable by the parties hereto and their respective successors and permitted assigns.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80" w:firstLine="656"/>
        <w:spacing w:after="0" w:line="266" w:lineRule="auto"/>
        <w:tabs>
          <w:tab w:leader="none" w:pos="8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matters or disputes relating thereto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7" w:name="page128"/>
    <w:bookmarkEnd w:id="127"/>
    <w:p>
      <w:pPr>
        <w:ind w:right="20" w:firstLine="656"/>
        <w:spacing w:after="0" w:line="253" w:lineRule="auto"/>
        <w:tabs>
          <w:tab w:leader="none" w:pos="90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suits, claims, proceedings, demands, arbitrations or inquiries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out of or relating in any way to this Agreement, including the formation and interpretation of this Agreement, whether sounding in contract, tort, statute or otherwise, shall be heard and determined exclusively in the Court of Chancery of the State of Delaware (or, if the Court of Chancery of the State of Delaware declines to accept jurisdiction over any such Action, any state or federal court within the State of Delaware), and in each case, appellate courts therefrom,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hereto in any Action arising out of or relating to this Agreement shall be effective if notice is given by overnight courier at the address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of this Agreement and consents to such courts’ exercise of personal jurisdiction over such party. The parties hereto agree that a final judgment in any such Action shall be conclusive and may be enforced in other jurisdictions by suit on the judgment or in any other manner provided by applicable Law; provided, however, that nothing in the foregoing shall restrict any party hereto’s rights to seek any post-judgment relief regarding, or any appeal from, a final trial court judgment.</w:t>
      </w:r>
    </w:p>
    <w:p>
      <w:pPr>
        <w:spacing w:after="0" w:line="187" w:lineRule="exact"/>
        <w:rPr>
          <w:rFonts w:ascii="Times New Roman" w:cs="Times New Roman" w:eastAsia="Times New Roman" w:hAnsi="Times New Roman"/>
          <w:sz w:val="18"/>
          <w:szCs w:val="18"/>
          <w:color w:val="auto"/>
        </w:rPr>
      </w:pPr>
    </w:p>
    <w:p>
      <w:pPr>
        <w:ind w:firstLine="656"/>
        <w:spacing w:after="0" w:line="268" w:lineRule="auto"/>
        <w:tabs>
          <w:tab w:leader="none" w:pos="893"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WAIVES ALL RIGHT TO TRIAL BY JURY IN ANY ACTION, PROCEEDING OR COUNTERCLAIM (WHETHER BASED ON CONTRACT, TORT OR OTHERWISE) DIRECTLY OR INDIRECTLY ARISING OUT OF OR RELATING TO THIS AGREEMENT AND ANY OF THE AGREEMENTS DELIVERED IN CONNECTION HEREWITH (INCLUDING THE MERGER AGREEMENT) AND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w:t>
      </w:r>
    </w:p>
    <w:p>
      <w:pPr>
        <w:spacing w:after="0" w:line="4" w:lineRule="exact"/>
        <w:rPr>
          <w:rFonts w:ascii="Times New Roman" w:cs="Times New Roman" w:eastAsia="Times New Roman" w:hAnsi="Times New Roman"/>
          <w:sz w:val="17"/>
          <w:szCs w:val="17"/>
          <w:color w:val="auto"/>
        </w:rPr>
      </w:pPr>
    </w:p>
    <w:p>
      <w:pPr>
        <w:ind w:right="100" w:firstLine="8"/>
        <w:spacing w:after="0" w:line="255" w:lineRule="auto"/>
        <w:tabs>
          <w:tab w:leader="none" w:pos="2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electronic mail) and by electronic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 Signatures to this Agreement transmitted by electronic mail in “portable document format” (.pdf) form, or by any other electronic means intended to preserve the original graphic and pictorial appearance of a document, will have the same effect as physical delivery of a paper document bearing an original signature.</w:t>
      </w:r>
    </w:p>
    <w:p>
      <w:pPr>
        <w:spacing w:after="0" w:line="17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other prior agreements and understandings,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written and oral, among the parties hereto and their Affiliates, or any of them, with respect to the subject matter of this Agreement.</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EACH PARTY HERETO AGREES THAT, EXCEPT FOR THE REPRESENTATIONS AND WARRANTIES OF THE PARTIES CONTAINED IN THIS AGREEMENT, NO PARTY MAKES ANY REPRESENTATIONS OR WARRANTIES TO THE OTHER, AND EACH PARTY HEREBY DISCLAIMS ANY OTHER REPRESENTATIONS OR WARRANTIES, EXPRESS OR IMPLIED,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ANY REMEDY AVAILABLE TO ANY PARTY IN THE EVENT OF FRAUD BY THE OTHER PARTY.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incapable of being enforced by any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The parties hereto hereby agree that irreparable damage for which monetary relief, even if available,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an adequate remedy if any provision of this Agreement were not performed in accordance with its specific terms or were otherwise breached, and, accordingly, that each party shall be entitled to seek an injunction or injunctions to prevent breaches of this Agreement or to enforce specifically the each party’s performance of the terms and provisions hereof, without proof of damages or otherwise, in addition to any other remedy to which each party is entitled at law or in equity. In any action, suit, claim, or proceeding for specific performance, each party will waive the defense of adequacy of any other remedy at law, and each party will waive any requirement for the securing or posting of any bond or other security in connection with the remedies referred to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Mutual Drafting</w:t>
      </w:r>
      <w:r>
        <w:rPr>
          <w:rFonts w:ascii="Times New Roman" w:cs="Times New Roman" w:eastAsia="Times New Roman" w:hAnsi="Times New Roman"/>
          <w:sz w:val="18"/>
          <w:szCs w:val="18"/>
          <w:color w:val="auto"/>
        </w:rPr>
        <w:t>. Each party hereto has participated in the drafting of this Agreement, which each party hereto acknowledges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of extensive negotiations between the parties hereto;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76" w:lineRule="exact"/>
        <w:rPr>
          <w:sz w:val="20"/>
          <w:szCs w:val="20"/>
          <w:color w:val="auto"/>
        </w:rPr>
      </w:pPr>
    </w:p>
    <w:p>
      <w:pPr>
        <w:ind w:right="4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5.13 </w:t>
      </w:r>
      <w:r>
        <w:rPr>
          <w:rFonts w:ascii="Times New Roman" w:cs="Times New Roman" w:eastAsia="Times New Roman" w:hAnsi="Times New Roman"/>
          <w:sz w:val="17"/>
          <w:szCs w:val="17"/>
          <w:b w:val="1"/>
          <w:bCs w:val="1"/>
          <w:u w:val="single" w:color="auto"/>
          <w:color w:val="auto"/>
        </w:rPr>
        <w:t>Further Assurances</w:t>
      </w:r>
      <w:r>
        <w:rPr>
          <w:rFonts w:ascii="Times New Roman" w:cs="Times New Roman" w:eastAsia="Times New Roman" w:hAnsi="Times New Roman"/>
          <w:sz w:val="17"/>
          <w:szCs w:val="17"/>
          <w:color w:val="auto"/>
        </w:rPr>
        <w:t>. Guarantor, Parent, Merger Sub and each Stockholder will execute and deliver, or cause to be executed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9" w:name="page130"/>
    <w:bookmarkEnd w:id="129"/>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Unless the context otherwise requires, as used in this Agreement: (a) “or” is not exclusive; (b) “including”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variants mean “including, without limitation” and its variants; (c) words defined in the singular have the parallel meaning in the plural and vice versa; (d) words of one gender shall be construed to apply to each gender; and (e) the terms “Article,” “Section” and “Schedule” refer to the specified Article, Section or Schedule of or to this Agreement.</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Capacity as Stockholders</w:t>
      </w:r>
      <w:r>
        <w:rPr>
          <w:rFonts w:ascii="Times New Roman" w:cs="Times New Roman" w:eastAsia="Times New Roman" w:hAnsi="Times New Roman"/>
          <w:sz w:val="18"/>
          <w:szCs w:val="18"/>
          <w:color w:val="auto"/>
        </w:rPr>
        <w:t>. Notwithstanding anything herein to the contrary, (a) each Stockholder signs this Agreement solely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Stockholder’s capacity as a stockholder of the Company, and not in any other capacity,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w:t>
      </w:r>
    </w:p>
    <w:p>
      <w:pPr>
        <w:spacing w:after="0" w:line="179"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(a) the Merger Agreement is executed by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thereto, and (b) this Agreement is executed by all parties hereto.</w:t>
      </w:r>
    </w:p>
    <w:p>
      <w:pPr>
        <w:spacing w:after="0" w:line="15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Except as otherwise provided herein, nothing contained in this Agreement shall be deemed to vest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Parent or Merger Sub any direct or indirect ownership or incidence of ownership of or with respect to the Subject Shares. All rights, ownership and economic benefits of and relating to the Subject Shares shall remain vested in and belong to each Stockholder, and none of Guarantor, Parent or Merger Sub shall have any authority to manage, direct, restrict, regulate, govern or administer any of the policies or operations of the Company or exercise any power or authority to direct such Stockholder in the voting of any of the Subject Shares, except as otherwise provided herein.</w:t>
      </w:r>
    </w:p>
    <w:p>
      <w:pPr>
        <w:spacing w:after="0" w:line="17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Stockholder Obligation Several and Not Joint</w:t>
      </w:r>
      <w:r>
        <w:rPr>
          <w:rFonts w:ascii="Times New Roman" w:cs="Times New Roman" w:eastAsia="Times New Roman" w:hAnsi="Times New Roman"/>
          <w:sz w:val="18"/>
          <w:szCs w:val="18"/>
          <w:color w:val="auto"/>
        </w:rPr>
        <w:t>. The obligations of each Stockholder hereunder shall be several and not joint,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Stockholder shall be liable for any breach of the terms of this Agreement by any other Stockholder.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The parties hereto are executing this Agreement on the date set forth in the introductory clause.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ANDOR LLC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299148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ANDOR MERGER CO.</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299148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ABBVIE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299148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7"/>
          <w:szCs w:val="17"/>
          <w:color w:val="auto"/>
        </w:rPr>
        <w:t>Title:</w:t>
        <w:tab/>
        <w:t>Executive Vice President, Chief Financial Officer</w:t>
      </w:r>
    </w:p>
    <w:p>
      <w:pPr>
        <w:spacing w:after="0" w:line="21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257175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31" w:name="page132"/>
    <w:bookmarkEnd w:id="131"/>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FAIRMOUNT HEALTHCARE FUND II,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Fairmount Healthcare Fund II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9148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Harwin</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2" w:name="page133"/>
    <w:bookmarkEnd w:id="132"/>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VENROCK HEALTHCARE CAPITAL PARTNERS III,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VHCP Management III,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Adviser,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9148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3" w:name="page134"/>
    <w:bookmarkEnd w:id="133"/>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VHCP CO-INVESTMENT HOLDINGS III,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VHCP Management III,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Adviser,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9148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4" w:name="page135"/>
    <w:bookmarkEnd w:id="134"/>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VENROCK HEALTHCARE CAPITAL PARTNERS EG,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Management EG,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9148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264795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728"/>
        <w:spacing w:after="0"/>
        <w:rPr>
          <w:sz w:val="20"/>
          <w:szCs w:val="20"/>
          <w:color w:val="auto"/>
        </w:rPr>
      </w:pPr>
      <w:r>
        <w:rPr>
          <w:rFonts w:ascii="Times New Roman" w:cs="Times New Roman" w:eastAsia="Times New Roman" w:hAnsi="Times New Roman"/>
          <w:sz w:val="18"/>
          <w:szCs w:val="18"/>
          <w:b w:val="1"/>
          <w:bCs w:val="1"/>
          <w:color w:val="auto"/>
        </w:rPr>
        <w:t>Subject Shares</w:t>
      </w:r>
    </w:p>
    <w:p>
      <w:pPr>
        <w:spacing w:after="0" w:line="229" w:lineRule="exact"/>
        <w:rPr>
          <w:sz w:val="20"/>
          <w:szCs w:val="20"/>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Fairmount Healthcare Fund II, L.P.</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298,647 shares of Voting Common Stock</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6,743,321 shares of Non-Voting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460,075 shares of Voting Common Stock</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2,495,319 shares of Non-Voting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Co-Investment Holdings III, LLC</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46,025 shares of Voting Common Stock</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249,522 shares of Non-Voting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EG, L.P.</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1,243,900 shares of Voting Common Stock</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3,998,480 shares of Non-Voting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Opportunities Fund, L.P.</w:t>
      </w:r>
    </w:p>
    <w:p>
      <w:pPr>
        <w:spacing w:after="0" w:line="2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365,853 pre-funded warrants to purchase up to 365,853 shares of 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358775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807"/>
      </w:cols>
      <w:pgMar w:left="652"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lowerRoman"/>
      <w:start w:val="1"/>
    </w:lvl>
  </w:abstractNum>
  <w:abstractNum w:abstractNumId="4">
    <w:nsid w:val="5F5E7FD0"/>
    <w:multiLevelType w:val="hybridMultilevel"/>
    <w:lvl w:ilvl="0">
      <w:lvlJc w:val="left"/>
      <w:lvlText w:val="(%1)"/>
      <w:numFmt w:val="decimal"/>
      <w:start w:val="2"/>
    </w:lvl>
  </w:abstractNum>
  <w:abstractNum w:abstractNumId="5">
    <w:nsid w:val="98A3148"/>
    <w:multiLevelType w:val="hybridMultilevel"/>
    <w:lvl w:ilvl="0">
      <w:lvlJc w:val="left"/>
      <w:lvlText w:val="(%1)"/>
      <w:numFmt w:val="lowerLetter"/>
      <w:start w:val="4"/>
    </w:lvl>
  </w:abstractNum>
  <w:abstractNum w:abstractNumId="6">
    <w:nsid w:val="799D0247"/>
    <w:multiLevelType w:val="hybridMultilevel"/>
    <w:lvl w:ilvl="0">
      <w:lvlJc w:val="left"/>
      <w:lvlText w:val="*"/>
      <w:numFmt w:val="bullet"/>
      <w:start w:val="1"/>
    </w:lvl>
    <w:lvl w:ilvl="1">
      <w:lvlJc w:val="left"/>
      <w:lvlText w:val="%2"/>
      <w:numFmt w:val="decimal"/>
      <w:start w:val="104"/>
    </w:lvl>
  </w:abstractNum>
  <w:abstractNum w:abstractNumId="7">
    <w:nsid w:val="6B94764"/>
    <w:multiLevelType w:val="hybridMultilevel"/>
    <w:lvl w:ilvl="0">
      <w:lvlJc w:val="left"/>
      <w:lvlText w:val="(%1)"/>
      <w:numFmt w:val="lowerLetter"/>
      <w:start w:val="1"/>
    </w:lvl>
  </w:abstractNum>
  <w:abstractNum w:abstractNumId="8">
    <w:nsid w:val="42C296BD"/>
    <w:multiLevelType w:val="hybridMultilevel"/>
    <w:lvl w:ilvl="0">
      <w:lvlJc w:val="left"/>
      <w:lvlText w:val="(%1)"/>
      <w:numFmt w:val="lowerLetter"/>
      <w:start w:val="2"/>
    </w:lvl>
  </w:abstractNum>
  <w:abstractNum w:abstractNumId="9">
    <w:nsid w:val="168E121F"/>
    <w:multiLevelType w:val="hybridMultilevel"/>
    <w:lvl w:ilvl="0">
      <w:lvlJc w:val="left"/>
      <w:lvlText w:val="(%1)"/>
      <w:numFmt w:val="lowerLetter"/>
      <w:start w:val="1"/>
    </w:lvl>
    <w:lvl w:ilvl="1">
      <w:lvlJc w:val="left"/>
      <w:lvlText w:val="(%2)"/>
      <w:numFmt w:val="lowerLetter"/>
      <w:start w:val="9"/>
    </w:lvl>
  </w:abstractNum>
  <w:abstractNum w:abstractNumId="10">
    <w:nsid w:val="1EBA5D23"/>
    <w:multiLevelType w:val="hybridMultilevel"/>
    <w:lvl w:ilvl="0">
      <w:lvlJc w:val="left"/>
      <w:lvlText w:val="(%1)"/>
      <w:numFmt w:val="lowerRoman"/>
      <w:start w:val="2"/>
    </w:lvl>
  </w:abstractNum>
  <w:abstractNum w:abstractNumId="11">
    <w:nsid w:val="661E3F1E"/>
    <w:multiLevelType w:val="hybridMultilevel"/>
    <w:lvl w:ilvl="0">
      <w:lvlJc w:val="left"/>
      <w:lvlText w:val="(%1)"/>
      <w:numFmt w:val="lowerLetter"/>
      <w:start w:val="2"/>
    </w:lvl>
  </w:abstractNum>
  <w:abstractNum w:abstractNumId="12">
    <w:nsid w:val="5DC79EA8"/>
    <w:multiLevelType w:val="hybridMultilevel"/>
    <w:lvl w:ilvl="0">
      <w:lvlJc w:val="left"/>
      <w:lvlText w:val="(%1)"/>
      <w:numFmt w:val="lowerLetter"/>
      <w:start w:val="3"/>
    </w:lvl>
  </w:abstractNum>
  <w:abstractNum w:abstractNumId="13">
    <w:nsid w:val="540A471C"/>
    <w:multiLevelType w:val="hybridMultilevel"/>
    <w:lvl w:ilvl="0">
      <w:lvlJc w:val="left"/>
      <w:lvlText w:val="(%1)"/>
      <w:numFmt w:val="lowerLetter"/>
      <w:start w:val="1"/>
    </w:lvl>
    <w:lvl w:ilvl="1">
      <w:lvlJc w:val="left"/>
      <w:lvlText w:val="(%2)"/>
      <w:numFmt w:val="lowerLetter"/>
      <w:start w:val="9"/>
    </w:lvl>
  </w:abstractNum>
  <w:abstractNum w:abstractNumId="14">
    <w:nsid w:val="7BD3EE7B"/>
    <w:multiLevelType w:val="hybridMultilevel"/>
    <w:lvl w:ilvl="0">
      <w:lvlJc w:val="left"/>
      <w:lvlText w:val="%1"/>
      <w:numFmt w:val="lowerLetter"/>
      <w:start w:val="1"/>
    </w:lvl>
    <w:lvl w:ilvl="1">
      <w:lvlJc w:val="left"/>
      <w:lvlText w:val="(%2)"/>
      <w:numFmt w:val="lowerRoman"/>
      <w:start w:val="2"/>
    </w:lvl>
  </w:abstractNum>
  <w:abstractNum w:abstractNumId="15">
    <w:nsid w:val="51D9C564"/>
    <w:multiLevelType w:val="hybridMultilevel"/>
    <w:lvl w:ilvl="0">
      <w:lvlJc w:val="left"/>
      <w:lvlText w:val="(%1)"/>
      <w:numFmt w:val="lowerLetter"/>
      <w:start w:val="3"/>
    </w:lvl>
    <w:lvl w:ilvl="1">
      <w:lvlJc w:val="left"/>
      <w:lvlText w:val="%2"/>
      <w:numFmt w:val="lowerRoman"/>
      <w:start w:val="1"/>
    </w:lvl>
  </w:abstractNum>
  <w:abstractNum w:abstractNumId="16">
    <w:nsid w:val="613EFDC5"/>
    <w:multiLevelType w:val="hybridMultilevel"/>
    <w:lvl w:ilvl="0">
      <w:lvlJc w:val="left"/>
      <w:lvlText w:val="(%1)"/>
      <w:numFmt w:val="lowerLetter"/>
      <w:start w:val="6"/>
    </w:lvl>
  </w:abstractNum>
  <w:abstractNum w:abstractNumId="17">
    <w:nsid w:val="BF72B14"/>
    <w:multiLevelType w:val="hybridMultilevel"/>
    <w:lvl w:ilvl="0">
      <w:lvlJc w:val="left"/>
      <w:lvlText w:val="(%1)"/>
      <w:numFmt w:val="lowerLetter"/>
      <w:start w:val="1"/>
    </w:lvl>
    <w:lvl w:ilvl="1">
      <w:lvlJc w:val="left"/>
      <w:lvlText w:val="(%2)"/>
      <w:numFmt w:val="lowerRoman"/>
      <w:start w:val="1"/>
    </w:lvl>
  </w:abstractNum>
  <w:abstractNum w:abstractNumId="18">
    <w:nsid w:val="11447B7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9">
    <w:nsid w:val="42963E5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0">
    <w:nsid w:val="A0382C5"/>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21">
    <w:nsid w:val="8F2B15E"/>
    <w:multiLevelType w:val="hybridMultilevel"/>
    <w:lvl w:ilvl="0">
      <w:lvlJc w:val="left"/>
      <w:lvlText w:val="(%1)"/>
      <w:numFmt w:val="lowerLetter"/>
      <w:start w:val="5"/>
    </w:lvl>
    <w:lvl w:ilvl="1">
      <w:lvlJc w:val="left"/>
      <w:lvlText w:val="(%2)"/>
      <w:numFmt w:val="lowerRoman"/>
      <w:start w:val="1"/>
    </w:lvl>
  </w:abstractNum>
  <w:abstractNum w:abstractNumId="22">
    <w:nsid w:val="1A32234B"/>
    <w:multiLevelType w:val="hybridMultilevel"/>
    <w:lvl w:ilvl="0">
      <w:lvlJc w:val="left"/>
      <w:lvlText w:val="%1"/>
      <w:numFmt w:val="lowerLetter"/>
      <w:start w:val="1"/>
    </w:lvl>
    <w:lvl w:ilvl="1">
      <w:lvlJc w:val="left"/>
      <w:lvlText w:val="(%2)"/>
      <w:numFmt w:val="lowerLetter"/>
      <w:start w:val="1"/>
    </w:lvl>
  </w:abstractNum>
  <w:abstractNum w:abstractNumId="23">
    <w:nsid w:val="3B0FD379"/>
    <w:multiLevelType w:val="hybridMultilevel"/>
    <w:lvl w:ilvl="0">
      <w:lvlJc w:val="left"/>
      <w:lvlText w:val="(%1)"/>
      <w:numFmt w:val="lowerLetter"/>
      <w:start w:val="2"/>
    </w:lvl>
    <w:lvl w:ilvl="1">
      <w:lvlJc w:val="left"/>
      <w:lvlText w:val="%2"/>
      <w:numFmt w:val="lowerLetter"/>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lowerLetter"/>
      <w:start w:val="3"/>
    </w:lvl>
  </w:abstractNum>
  <w:abstractNum w:abstractNumId="27">
    <w:nsid w:val="6A5EE64"/>
    <w:multiLevelType w:val="hybridMultilevel"/>
    <w:lvl w:ilvl="0">
      <w:lvlJc w:val="left"/>
      <w:lvlText w:val="%1"/>
      <w:numFmt w:val="lowerRoman"/>
      <w:start w:val="1"/>
    </w:lvl>
    <w:lvl w:ilvl="1">
      <w:lvlJc w:val="left"/>
      <w:lvlText w:val="(%2)"/>
      <w:numFmt w:val="lowerLetter"/>
      <w:start w:val="1"/>
    </w:lvl>
  </w:abstractNum>
  <w:abstractNum w:abstractNumId="28">
    <w:nsid w:val="14330624"/>
    <w:multiLevelType w:val="hybridMultilevel"/>
    <w:lvl w:ilvl="0">
      <w:lvlJc w:val="left"/>
      <w:lvlText w:val="(%1)"/>
      <w:numFmt w:val="lowerRoman"/>
      <w:start w:val="7"/>
    </w:lvl>
    <w:lvl w:ilvl="1">
      <w:lvlJc w:val="left"/>
      <w:lvlText w:val="%2"/>
      <w:numFmt w:val="lowerLetter"/>
      <w:start w:val="1"/>
    </w:lvl>
  </w:abstractNum>
  <w:abstractNum w:abstractNumId="29">
    <w:nsid w:val="7FFFCA11"/>
    <w:multiLevelType w:val="hybridMultilevel"/>
    <w:lvl w:ilvl="0">
      <w:lvlJc w:val="left"/>
      <w:lvlText w:val="(%1)"/>
      <w:numFmt w:val="lowerLetter"/>
      <w:start w:val="3"/>
    </w:lvl>
  </w:abstractNum>
  <w:abstractNum w:abstractNumId="30">
    <w:nsid w:val="1A27709E"/>
    <w:multiLevelType w:val="hybridMultilevel"/>
    <w:lvl w:ilvl="0">
      <w:lvlJc w:val="left"/>
      <w:lvlText w:val="(%1)"/>
      <w:numFmt w:val="lowerLetter"/>
      <w:start w:val="1"/>
    </w:lvl>
  </w:abstractNum>
  <w:abstractNum w:abstractNumId="31">
    <w:nsid w:val="71EA1109"/>
    <w:multiLevelType w:val="hybridMultilevel"/>
    <w:lvl w:ilvl="0">
      <w:lvlJc w:val="left"/>
      <w:lvlText w:val="(%1)"/>
      <w:numFmt w:val="lowerLetter"/>
      <w:start w:val="2"/>
    </w:lvl>
  </w:abstractNum>
  <w:abstractNum w:abstractNumId="32">
    <w:nsid w:val="100F59DC"/>
    <w:multiLevelType w:val="hybridMultilevel"/>
    <w:lvl w:ilvl="0">
      <w:lvlJc w:val="left"/>
      <w:lvlText w:val="(%1)"/>
      <w:numFmt w:val="lowerLetter"/>
      <w:start w:val="5"/>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2"/>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2"/>
    </w:lvl>
  </w:abstractNum>
  <w:abstractNum w:abstractNumId="37">
    <w:nsid w:val="885E1B"/>
    <w:multiLevelType w:val="hybridMultilevel"/>
    <w:lvl w:ilvl="0">
      <w:lvlJc w:val="left"/>
      <w:lvlText w:val="(%1)"/>
      <w:numFmt w:val="lowerLetter"/>
      <w:start w:val="5"/>
    </w:lvl>
  </w:abstractNum>
  <w:abstractNum w:abstractNumId="38">
    <w:nsid w:val="76272110"/>
    <w:multiLevelType w:val="hybridMultilevel"/>
    <w:lvl w:ilvl="0">
      <w:lvlJc w:val="left"/>
      <w:lvlText w:val="(%1)"/>
      <w:numFmt w:val="lowerLetter"/>
      <w:start w:val="8"/>
    </w:lvl>
  </w:abstractNum>
  <w:abstractNum w:abstractNumId="39">
    <w:nsid w:val="4C04A8AF"/>
    <w:multiLevelType w:val="hybridMultilevel"/>
    <w:lvl w:ilvl="0">
      <w:lvlJc w:val="left"/>
      <w:lvlText w:val="(%1)"/>
      <w:numFmt w:val="lowerLetter"/>
      <w:start w:val="12"/>
    </w:lvl>
  </w:abstractNum>
  <w:abstractNum w:abstractNumId="40">
    <w:nsid w:val="1716703B"/>
    <w:multiLevelType w:val="hybridMultilevel"/>
    <w:lvl w:ilvl="0">
      <w:lvlJc w:val="left"/>
      <w:lvlText w:val="(%1)"/>
      <w:numFmt w:val="lowerLetter"/>
      <w:start w:val="1"/>
    </w:lvl>
    <w:lvl w:ilvl="1">
      <w:lvlJc w:val="left"/>
      <w:lvlText w:val="(%2)"/>
      <w:numFmt w:val="lowerRoman"/>
      <w:start w:val="1"/>
    </w:lvl>
  </w:abstractNum>
  <w:abstractNum w:abstractNumId="41">
    <w:nsid w:val="14E17E33"/>
    <w:multiLevelType w:val="hybridMultilevel"/>
    <w:lvl w:ilvl="0">
      <w:lvlJc w:val="left"/>
      <w:lvlText w:val="(%1)"/>
      <w:numFmt w:val="lowerRoman"/>
      <w:start w:val="3"/>
    </w:lvl>
  </w:abstractNum>
  <w:abstractNum w:abstractNumId="42">
    <w:nsid w:val="3222E7CD"/>
    <w:multiLevelType w:val="hybridMultilevel"/>
    <w:lvl w:ilvl="0">
      <w:lvlJc w:val="left"/>
      <w:lvlText w:val="(%1)"/>
      <w:numFmt w:val="lowerRoman"/>
      <w:start w:val="11"/>
    </w:lvl>
  </w:abstractNum>
  <w:abstractNum w:abstractNumId="43">
    <w:nsid w:val="74DE0EE3"/>
    <w:multiLevelType w:val="hybridMultilevel"/>
    <w:lvl w:ilvl="0">
      <w:lvlJc w:val="left"/>
      <w:lvlText w:val="%1"/>
      <w:numFmt w:val="lowerLetter"/>
      <w:start w:val="1"/>
    </w:lvl>
    <w:lvl w:ilvl="1">
      <w:lvlJc w:val="left"/>
      <w:lvlText w:val="(%2)"/>
      <w:numFmt w:val="lowerRoman"/>
      <w:start w:val="19"/>
    </w:lvl>
  </w:abstractNum>
  <w:abstractNum w:abstractNumId="44">
    <w:nsid w:val="68EBC550"/>
    <w:multiLevelType w:val="hybridMultilevel"/>
    <w:lvl w:ilvl="0">
      <w:lvlJc w:val="left"/>
      <w:lvlText w:val="(%1)"/>
      <w:numFmt w:val="lowerLetter"/>
      <w:start w:val="2"/>
    </w:lvl>
    <w:lvl w:ilvl="1">
      <w:lvlJc w:val="left"/>
      <w:lvlText w:val="%2"/>
      <w:numFmt w:val="lowerRoman"/>
      <w:start w:val="1"/>
    </w:lvl>
  </w:abstractNum>
  <w:abstractNum w:abstractNumId="45">
    <w:nsid w:val="2DF6D648"/>
    <w:multiLevelType w:val="hybridMultilevel"/>
    <w:lvl w:ilvl="0">
      <w:lvlJc w:val="left"/>
      <w:lvlText w:val="(%1)"/>
      <w:numFmt w:val="lowerRoman"/>
      <w:start w:val="2"/>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lowerLetter"/>
      <w:start w:val="2"/>
    </w:lvl>
  </w:abstractNum>
  <w:abstractNum w:abstractNumId="48">
    <w:nsid w:val="39EE015C"/>
    <w:multiLevelType w:val="hybridMultilevel"/>
    <w:lvl w:ilvl="0">
      <w:lvlJc w:val="left"/>
      <w:lvlText w:val="%1"/>
      <w:numFmt w:val="lowerLetter"/>
      <w:start w:val="1"/>
    </w:lvl>
    <w:lvl w:ilvl="1">
      <w:lvlJc w:val="left"/>
      <w:lvlText w:val="(%2)"/>
      <w:numFmt w:val="lowerLetter"/>
      <w:start w:val="5"/>
    </w:lvl>
  </w:abstractNum>
  <w:abstractNum w:abstractNumId="49">
    <w:nsid w:val="57FC4FBB"/>
    <w:multiLevelType w:val="hybridMultilevel"/>
    <w:lvl w:ilvl="0">
      <w:lvlJc w:val="left"/>
      <w:lvlText w:val="(%1)"/>
      <w:numFmt w:val="lowerLetter"/>
      <w:start w:val="35"/>
    </w:lvl>
    <w:lvl w:ilvl="1">
      <w:lvlJc w:val="left"/>
      <w:lvlText w:val="(%2)"/>
      <w:numFmt w:val="lowerLetter"/>
      <w:start w:val="7"/>
    </w:lvl>
  </w:abstractNum>
  <w:abstractNum w:abstractNumId="50">
    <w:nsid w:val="CC1016F"/>
    <w:multiLevelType w:val="hybridMultilevel"/>
    <w:lvl w:ilvl="0">
      <w:lvlJc w:val="left"/>
      <w:lvlText w:val="(%1)"/>
      <w:numFmt w:val="lowerLetter"/>
      <w:start w:val="11"/>
    </w:lvl>
  </w:abstractNum>
  <w:abstractNum w:abstractNumId="51">
    <w:nsid w:val="43F18422"/>
    <w:multiLevelType w:val="hybridMultilevel"/>
    <w:lvl w:ilvl="0">
      <w:lvlJc w:val="left"/>
      <w:lvlText w:val="%1"/>
      <w:numFmt w:val="lowerLetter"/>
      <w:start w:val="1"/>
    </w:lvl>
    <w:lvl w:ilvl="1">
      <w:lvlJc w:val="left"/>
      <w:lvlText w:val="(%2)"/>
      <w:numFmt w:val="lowerLetter"/>
      <w:start w:val="1"/>
    </w:lvl>
  </w:abstractNum>
  <w:abstractNum w:abstractNumId="52">
    <w:nsid w:val="60EF0119"/>
    <w:multiLevelType w:val="hybridMultilevel"/>
    <w:lvl w:ilvl="0">
      <w:lvlJc w:val="left"/>
      <w:lvlText w:val="(%1)"/>
      <w:numFmt w:val="lowerLetter"/>
      <w:start w:val="9"/>
    </w:lvl>
    <w:lvl w:ilvl="1">
      <w:lvlJc w:val="left"/>
      <w:lvlText w:val="(%2)"/>
      <w:numFmt w:val="lowerLetter"/>
      <w:start w:val="2"/>
    </w:lvl>
  </w:abstractNum>
  <w:abstractNum w:abstractNumId="53">
    <w:nsid w:val="26F324BA"/>
    <w:multiLevelType w:val="hybridMultilevel"/>
    <w:lvl w:ilvl="0">
      <w:lvlJc w:val="left"/>
      <w:lvlText w:val="(%1)"/>
      <w:numFmt w:val="lowerLetter"/>
      <w:start w:val="3"/>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2"/>
    </w:lvl>
  </w:abstractNum>
  <w:abstractNum w:abstractNumId="56">
    <w:nsid w:val="7055A5F5"/>
    <w:multiLevelType w:val="hybridMultilevel"/>
    <w:lvl w:ilvl="0">
      <w:lvlJc w:val="left"/>
      <w:lvlText w:val="(%1)"/>
      <w:numFmt w:val="lowerLetter"/>
      <w:start w:val="8"/>
    </w:lvl>
  </w:abstractNum>
  <w:abstractNum w:abstractNumId="57">
    <w:nsid w:val="5FB8370B"/>
    <w:multiLevelType w:val="hybridMultilevel"/>
    <w:lvl w:ilvl="0">
      <w:lvlJc w:val="left"/>
      <w:lvlText w:val="(%1)"/>
      <w:numFmt w:val="lowerLetter"/>
      <w:start w:val="1"/>
    </w:lvl>
  </w:abstractNum>
  <w:abstractNum w:abstractNumId="58">
    <w:nsid w:val="50801EE1"/>
    <w:multiLevelType w:val="hybridMultilevel"/>
    <w:lvl w:ilvl="0">
      <w:lvlJc w:val="left"/>
      <w:lvlText w:val="(%1)"/>
      <w:numFmt w:val="lowerLetter"/>
      <w:start w:val="2"/>
    </w:lvl>
  </w:abstractNum>
  <w:abstractNum w:abstractNumId="59">
    <w:nsid w:val="488AC1A"/>
    <w:multiLevelType w:val="hybridMultilevel"/>
    <w:lvl w:ilvl="0">
      <w:lvlJc w:val="left"/>
      <w:lvlText w:val="%1"/>
      <w:numFmt w:val="lowerLetter"/>
      <w:start w:val="1"/>
    </w:lvl>
    <w:lvl w:ilvl="1">
      <w:lvlJc w:val="left"/>
      <w:lvlText w:val="(%2)"/>
      <w:numFmt w:val="lowerLetter"/>
      <w:start w:val="7"/>
    </w:lvl>
  </w:abstractNum>
  <w:abstractNum w:abstractNumId="60">
    <w:nsid w:val="5FB8011C"/>
    <w:multiLevelType w:val="hybridMultilevel"/>
    <w:lvl w:ilvl="0">
      <w:lvlJc w:val="left"/>
      <w:lvlText w:val="(%1)"/>
      <w:numFmt w:val="lowerLetter"/>
      <w:start w:val="61"/>
    </w:lvl>
    <w:lvl w:ilvl="1">
      <w:lvlJc w:val="left"/>
      <w:lvlText w:val="%2"/>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4"/>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1"/>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2"/>
    </w:lvl>
    <w:lvl w:ilvl="1">
      <w:lvlJc w:val="left"/>
      <w:lvlText w:val="(%2)"/>
      <w:numFmt w:val="lowerRoman"/>
      <w:start w:val="1"/>
    </w:lvl>
  </w:abstractNum>
  <w:abstractNum w:abstractNumId="67">
    <w:nsid w:val="73A1821B"/>
    <w:multiLevelType w:val="hybridMultilevel"/>
    <w:lvl w:ilvl="0">
      <w:lvlJc w:val="left"/>
      <w:lvlText w:val="(%1)"/>
      <w:numFmt w:val="lowerRoman"/>
      <w:start w:val="7"/>
    </w:lvl>
  </w:abstractNum>
  <w:abstractNum w:abstractNumId="68">
    <w:nsid w:val="7DE67713"/>
    <w:multiLevelType w:val="hybridMultilevel"/>
    <w:lvl w:ilvl="0">
      <w:lvlJc w:val="left"/>
      <w:lvlText w:val="(%1)"/>
      <w:numFmt w:val="lowerRoman"/>
      <w:start w:val="12"/>
    </w:lvl>
  </w:abstractNum>
  <w:abstractNum w:abstractNumId="69">
    <w:nsid w:val="555C55B5"/>
    <w:multiLevelType w:val="hybridMultilevel"/>
    <w:lvl w:ilvl="0">
      <w:lvlJc w:val="left"/>
      <w:lvlText w:val="%1"/>
      <w:numFmt w:val="decimal"/>
      <w:start w:val="1"/>
    </w:lvl>
    <w:lvl w:ilvl="1">
      <w:lvlJc w:val="left"/>
      <w:lvlText w:val="(%2)"/>
      <w:numFmt w:val="lowerRoman"/>
      <w:start w:val="16"/>
    </w:lvl>
  </w:abstractNum>
  <w:abstractNum w:abstractNumId="70">
    <w:nsid w:val="3FA62ACA"/>
    <w:multiLevelType w:val="hybridMultilevel"/>
    <w:lvl w:ilvl="0">
      <w:lvlJc w:val="left"/>
      <w:lvlText w:val="(%1)"/>
      <w:numFmt w:val="decimal"/>
      <w:start w:val="4"/>
    </w:lvl>
    <w:lvl w:ilvl="1">
      <w:lvlJc w:val="left"/>
      <w:lvlText w:val="(%2)"/>
      <w:numFmt w:val="lowerRoman"/>
      <w:start w:val="17"/>
    </w:lvl>
  </w:abstractNum>
  <w:abstractNum w:abstractNumId="71">
    <w:nsid w:val="14FCE74E"/>
    <w:multiLevelType w:val="hybridMultilevel"/>
    <w:lvl w:ilvl="0">
      <w:lvlJc w:val="left"/>
      <w:lvlText w:val="(%1)"/>
      <w:numFmt w:val="lowerRoman"/>
      <w:start w:val="21"/>
    </w:lvl>
  </w:abstractNum>
  <w:abstractNum w:abstractNumId="72">
    <w:nsid w:val="6A3DD3E8"/>
    <w:multiLevelType w:val="hybridMultilevel"/>
    <w:lvl w:ilvl="0">
      <w:lvlJc w:val="left"/>
      <w:lvlText w:val="(%1)"/>
      <w:numFmt w:val="lowerLetter"/>
      <w:start w:val="3"/>
    </w:lvl>
    <w:lvl w:ilvl="1">
      <w:lvlJc w:val="left"/>
      <w:lvlText w:val="%2"/>
      <w:numFmt w:val="lowerLetter"/>
      <w:start w:val="1"/>
    </w:lvl>
  </w:abstractNum>
  <w:abstractNum w:abstractNumId="73">
    <w:nsid w:val="71C91298"/>
    <w:multiLevelType w:val="hybridMultilevel"/>
    <w:lvl w:ilvl="0">
      <w:lvlJc w:val="left"/>
      <w:lvlText w:val="(%1)"/>
      <w:numFmt w:val="lowerLetter"/>
      <w:start w:val="1"/>
    </w:lvl>
    <w:lvl w:ilvl="1">
      <w:lvlJc w:val="left"/>
      <w:lvlText w:val="(%2)"/>
      <w:numFmt w:val="lowerLetter"/>
      <w:start w:val="9"/>
    </w:lvl>
  </w:abstractNum>
  <w:abstractNum w:abstractNumId="74">
    <w:nsid w:val="9DAF632"/>
    <w:multiLevelType w:val="hybridMultilevel"/>
    <w:lvl w:ilvl="0">
      <w:lvlJc w:val="left"/>
      <w:lvlText w:val="%1"/>
      <w:numFmt w:val="lowerRoman"/>
      <w:start w:val="1"/>
    </w:lvl>
    <w:lvl w:ilvl="1">
      <w:lvlJc w:val="left"/>
      <w:lvlText w:val="(%2)"/>
      <w:numFmt w:val="upperLetter"/>
      <w:start w:val="1"/>
    </w:lvl>
  </w:abstractNum>
  <w:abstractNum w:abstractNumId="75">
    <w:nsid w:val="53299938"/>
    <w:multiLevelType w:val="hybridMultilevel"/>
    <w:lvl w:ilvl="0">
      <w:lvlJc w:val="left"/>
      <w:lvlText w:val="(%1)"/>
      <w:numFmt w:val="lowerRoman"/>
      <w:start w:val="2"/>
    </w:lvl>
    <w:lvl w:ilvl="1">
      <w:lvlJc w:val="left"/>
      <w:lvlText w:val="(%2)"/>
      <w:numFmt w:val="upperLetter"/>
      <w:start w:val="1"/>
    </w:lvl>
  </w:abstractNum>
  <w:abstractNum w:abstractNumId="76">
    <w:nsid w:val="1FBFE8E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77">
    <w:nsid w:val="5092CA7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78">
    <w:nsid w:val="1D545C4D"/>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79">
    <w:nsid w:val="59ADEA3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0">
    <w:nsid w:val="288F1A34"/>
    <w:multiLevelType w:val="hybridMultilevel"/>
    <w:lvl w:ilvl="0">
      <w:lvlJc w:val="left"/>
      <w:lvlText w:val="%1"/>
      <w:numFmt w:val="lowerRoman"/>
      <w:start w:val="1"/>
    </w:lvl>
    <w:lvl w:ilvl="1">
      <w:lvlJc w:val="left"/>
      <w:lvlText w:val="(%2)"/>
      <w:numFmt w:val="upperLetter"/>
      <w:start w:val="3"/>
    </w:lvl>
  </w:abstractNum>
  <w:abstractNum w:abstractNumId="81">
    <w:nsid w:val="2A155DBC"/>
    <w:multiLevelType w:val="hybridMultilevel"/>
    <w:lvl w:ilvl="0">
      <w:lvlJc w:val="left"/>
      <w:lvlText w:val="(%1)"/>
      <w:numFmt w:val="lowerRoman"/>
      <w:start w:val="2"/>
    </w:lvl>
    <w:lvl w:ilvl="1">
      <w:lvlJc w:val="left"/>
      <w:lvlText w:val="(%2)"/>
      <w:numFmt w:val="upperLetter"/>
      <w:start w:val="1"/>
    </w:lvl>
  </w:abstractNum>
  <w:abstractNum w:abstractNumId="82">
    <w:nsid w:val="1D9F6E5F"/>
    <w:multiLevelType w:val="hybridMultilevel"/>
    <w:lvl w:ilvl="0">
      <w:lvlJc w:val="left"/>
      <w:lvlText w:val="%1"/>
      <w:numFmt w:val="lowerRoman"/>
      <w:start w:val="1"/>
    </w:lvl>
    <w:lvl w:ilvl="1">
      <w:lvlJc w:val="left"/>
      <w:lvlText w:val="(%2)"/>
      <w:numFmt w:val="upperLetter"/>
      <w:start w:val="2"/>
    </w:lvl>
  </w:abstractNum>
  <w:abstractNum w:abstractNumId="83">
    <w:nsid w:val="97E1B4E"/>
    <w:multiLevelType w:val="hybridMultilevel"/>
    <w:lvl w:ilvl="0">
      <w:lvlJc w:val="left"/>
      <w:lvlText w:val="(%1)"/>
      <w:numFmt w:val="lowerRoman"/>
      <w:start w:val="3"/>
    </w:lvl>
    <w:lvl w:ilvl="1">
      <w:lvlJc w:val="left"/>
      <w:lvlText w:val="%2"/>
      <w:numFmt w:val="upperLetter"/>
      <w:start w:val="1"/>
    </w:lvl>
  </w:abstractNum>
  <w:abstractNum w:abstractNumId="84">
    <w:nsid w:val="51088277"/>
    <w:multiLevelType w:val="hybridMultilevel"/>
    <w:lvl w:ilvl="0">
      <w:lvlJc w:val="left"/>
      <w:lvlText w:val="%1"/>
      <w:numFmt w:val="lowerRoman"/>
      <w:start w:val="1"/>
    </w:lvl>
    <w:lvl w:ilvl="1">
      <w:lvlJc w:val="left"/>
      <w:lvlText w:val="(%2)"/>
      <w:numFmt w:val="lowerRoman"/>
      <w:start w:val="6"/>
    </w:lvl>
  </w:abstractNum>
  <w:abstractNum w:abstractNumId="85">
    <w:nsid w:val="1CA0C5FA"/>
    <w:multiLevelType w:val="hybridMultilevel"/>
    <w:lvl w:ilvl="0">
      <w:lvlJc w:val="left"/>
      <w:lvlText w:val="(%1)"/>
      <w:numFmt w:val="lowerRoman"/>
      <w:start w:val="7"/>
    </w:lvl>
    <w:lvl w:ilvl="1">
      <w:lvlJc w:val="left"/>
      <w:lvlText w:val="(%2)"/>
      <w:numFmt w:val="lowerRoman"/>
      <w:start w:val="8"/>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2"/>
    </w:lvl>
  </w:abstractNum>
  <w:abstractNum w:abstractNumId="88">
    <w:nsid w:val="7C58FD05"/>
    <w:multiLevelType w:val="hybridMultilevel"/>
    <w:lvl w:ilvl="0">
      <w:lvlJc w:val="left"/>
      <w:lvlText w:val="(%1)"/>
      <w:numFmt w:val="lowerLetter"/>
      <w:start w:val="6"/>
    </w:lvl>
  </w:abstractNum>
  <w:abstractNum w:abstractNumId="89">
    <w:nsid w:val="23D86AAC"/>
    <w:multiLevelType w:val="hybridMultilevel"/>
    <w:lvl w:ilvl="0">
      <w:lvlJc w:val="left"/>
      <w:lvlText w:val="(%1)"/>
      <w:numFmt w:val="lowerLetter"/>
      <w:start w:val="1"/>
    </w:lvl>
  </w:abstractNum>
  <w:abstractNum w:abstractNumId="90">
    <w:nsid w:val="45E6D486"/>
    <w:multiLevelType w:val="hybridMultilevel"/>
    <w:lvl w:ilvl="0">
      <w:lvlJc w:val="left"/>
      <w:lvlText w:val="(%1)"/>
      <w:numFmt w:val="lowerLetter"/>
      <w:start w:val="2"/>
    </w:lvl>
  </w:abstractNum>
  <w:abstractNum w:abstractNumId="91">
    <w:nsid w:val="5C10FE21"/>
    <w:multiLevelType w:val="hybridMultilevel"/>
    <w:lvl w:ilvl="0">
      <w:lvlJc w:val="left"/>
      <w:lvlText w:val="(%1)"/>
      <w:numFmt w:val="lowerLetter"/>
      <w:start w:val="4"/>
    </w:lvl>
  </w:abstractNum>
  <w:abstractNum w:abstractNumId="92">
    <w:nsid w:val="E7FFA2B"/>
    <w:multiLevelType w:val="hybridMultilevel"/>
    <w:lvl w:ilvl="0">
      <w:lvlJc w:val="left"/>
      <w:lvlText w:val="%1"/>
      <w:numFmt w:val="upperLetter"/>
      <w:start w:val="1"/>
    </w:lvl>
    <w:lvl w:ilvl="1">
      <w:lvlJc w:val="left"/>
      <w:lvlText w:val="(%2)"/>
      <w:numFmt w:val="lowerLetter"/>
      <w:start w:val="5"/>
    </w:lvl>
  </w:abstractNum>
  <w:abstractNum w:abstractNumId="93">
    <w:nsid w:val="3C5991AA"/>
    <w:multiLevelType w:val="hybridMultilevel"/>
    <w:lvl w:ilvl="0">
      <w:lvlJc w:val="left"/>
      <w:lvlText w:val="(%1)"/>
      <w:numFmt w:val="upperLetter"/>
      <w:start w:val="2"/>
    </w:lvl>
    <w:lvl w:ilvl="1">
      <w:lvlJc w:val="left"/>
      <w:lvlText w:val="%2"/>
      <w:numFmt w:val="lowerLetter"/>
      <w:start w:val="1"/>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2"/>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1"/>
    </w:lvl>
    <w:lvl w:ilvl="1">
      <w:lvlJc w:val="left"/>
      <w:lvlText w:val="(%2)"/>
      <w:numFmt w:val="lowerLetter"/>
      <w:start w:val="3"/>
    </w:lvl>
  </w:abstractNum>
  <w:abstractNum w:abstractNumId="98">
    <w:nsid w:val="6C80EC70"/>
    <w:multiLevelType w:val="hybridMultilevel"/>
    <w:lvl w:ilvl="0">
      <w:lvlJc w:val="left"/>
      <w:lvlText w:val="(%1)"/>
      <w:numFmt w:val="lowerLetter"/>
      <w:start w:val="61"/>
    </w:lvl>
    <w:lvl w:ilvl="1">
      <w:lvlJc w:val="left"/>
      <w:lvlText w:val="(%2)"/>
      <w:numFmt w:val="lowerLetter"/>
      <w:start w:val="4"/>
    </w:lvl>
  </w:abstractNum>
  <w:abstractNum w:abstractNumId="99">
    <w:nsid w:val="379E21B5"/>
    <w:multiLevelType w:val="hybridMultilevel"/>
    <w:lvl w:ilvl="0">
      <w:lvlJc w:val="left"/>
      <w:lvlText w:val="(%1)"/>
      <w:numFmt w:val="lowerLetter"/>
      <w:start w:val="5"/>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Roman"/>
      <w:start w:val="1"/>
    </w:lvl>
    <w:lvl w:ilvl="1">
      <w:lvlJc w:val="left"/>
      <w:lvlText w:val="(%2)"/>
      <w:numFmt w:val="lowerLetter"/>
      <w:start w:val="1"/>
    </w:lvl>
  </w:abstractNum>
  <w:abstractNum w:abstractNumId="102">
    <w:nsid w:val="4C9B0904"/>
    <w:multiLevelType w:val="hybridMultilevel"/>
    <w:lvl w:ilvl="0">
      <w:lvlJc w:val="left"/>
      <w:lvlText w:val="(%1)"/>
      <w:numFmt w:val="lowerRoman"/>
      <w:start w:val="4"/>
    </w:lvl>
    <w:lvl w:ilvl="1">
      <w:lvlJc w:val="left"/>
      <w:lvlText w:val="(%2)"/>
      <w:numFmt w:val="lowerLetter"/>
      <w:start w:val="2"/>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abstractNum>
  <w:abstractNum w:abstractNumId="105">
    <w:nsid w:val="5675FF36"/>
    <w:multiLevelType w:val="hybridMultilevel"/>
    <w:lvl w:ilvl="0">
      <w:lvlJc w:val="left"/>
      <w:lvlText w:val="(%1)"/>
      <w:numFmt w:val="lowerLetter"/>
      <w:start w:val="2"/>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4"/>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4"/>
    </w:lvl>
  </w:abstractNum>
  <w:abstractNum w:abstractNumId="110">
    <w:nsid w:val="175DFCF0"/>
    <w:multiLevelType w:val="hybridMultilevel"/>
    <w:lvl w:ilvl="0">
      <w:lvlJc w:val="left"/>
      <w:lvlText w:val="%1"/>
      <w:numFmt w:val="lowerLetter"/>
      <w:start w:val="1"/>
    </w:lvl>
    <w:lvl w:ilvl="1">
      <w:lvlJc w:val="left"/>
      <w:lvlText w:val="(%2)"/>
      <w:numFmt w:val="lowerLetter"/>
      <w:start w:val="1"/>
    </w:lvl>
  </w:abstractNum>
  <w:abstractNum w:abstractNumId="111">
    <w:nsid w:val="4F97E3E4"/>
    <w:multiLevelType w:val="hybridMultilevel"/>
    <w:lvl w:ilvl="0">
      <w:lvlJc w:val="left"/>
      <w:lvlText w:val="(%1)"/>
      <w:numFmt w:val="lowerLetter"/>
      <w:start w:val="61"/>
    </w:lvl>
    <w:lvl w:ilvl="1">
      <w:lvlJc w:val="left"/>
      <w:lvlText w:val="(%2)"/>
      <w:numFmt w:val="lowerLetter"/>
      <w:start w:val="2"/>
    </w:lvl>
  </w:abstractNum>
  <w:abstractNum w:abstractNumId="112">
    <w:nsid w:val="53B0A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3">
    <w:nsid w:val="34FD6B4F"/>
    <w:multiLevelType w:val="hybridMultilevel"/>
    <w:lvl w:ilvl="0">
      <w:lvlJc w:val="left"/>
      <w:lvlText w:val="(%1)"/>
      <w:numFmt w:val="upperLetter"/>
      <w:start w:val="2"/>
    </w:lvl>
  </w:abstractNum>
  <w:abstractNum w:abstractNumId="114">
    <w:nsid w:val="5915FF32"/>
    <w:multiLevelType w:val="hybridMultilevel"/>
    <w:lvl w:ilvl="0">
      <w:lvlJc w:val="left"/>
      <w:lvlText w:val="%1"/>
      <w:numFmt w:val="upperLetter"/>
      <w:start w:val="1"/>
    </w:lvl>
    <w:lvl w:ilvl="1">
      <w:lvlJc w:val="left"/>
      <w:lvlText w:val="(%2)"/>
      <w:numFmt w:val="lowerLetter"/>
      <w:start w:val="26"/>
    </w:lvl>
    <w:lvl w:ilvl="2">
      <w:lvlJc w:val="left"/>
      <w:lvlText w:val="(%3)"/>
      <w:numFmt w:val="lowerLetter"/>
      <w:start w:val="2"/>
    </w:lvl>
  </w:abstractNum>
  <w:abstractNum w:abstractNumId="115">
    <w:nsid w:val="56438D1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16">
    <w:nsid w:val="519E3149"/>
    <w:multiLevelType w:val="hybridMultilevel"/>
    <w:lvl w:ilvl="0">
      <w:lvlJc w:val="left"/>
      <w:lvlText w:val="(%1)"/>
      <w:numFmt w:val="lowerLetter"/>
      <w:start w:val="3"/>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1"/>
    </w:lvl>
    <w:lvl w:ilvl="1">
      <w:lvlJc w:val="left"/>
      <w:lvlText w:val="(%2)"/>
      <w:numFmt w:val="lowerLetter"/>
      <w:start w:val="2"/>
    </w:lvl>
  </w:abstractNum>
  <w:abstractNum w:abstractNumId="119">
    <w:nsid w:val="4DF72E4E"/>
    <w:multiLevelType w:val="hybridMultilevel"/>
    <w:lvl w:ilvl="0">
      <w:lvlJc w:val="left"/>
      <w:lvlText w:val="(%1)"/>
      <w:numFmt w:val="lowerLetter"/>
      <w:start w:val="61"/>
    </w:lvl>
    <w:lvl w:ilvl="1">
      <w:lvlJc w:val="left"/>
      <w:lvlText w:val="(%2)"/>
      <w:numFmt w:val="lowerLetter"/>
      <w:start w:val="3"/>
    </w:lvl>
  </w:abstractNum>
  <w:abstractNum w:abstractNumId="120">
    <w:nsid w:val="5046B5A9"/>
    <w:multiLevelType w:val="hybridMultilevel"/>
    <w:lvl w:ilvl="0">
      <w:lvlJc w:val="left"/>
      <w:lvlText w:val="(%1)"/>
      <w:numFmt w:val="lowerLetter"/>
      <w:start w:val="4"/>
    </w:lvl>
  </w:abstractNum>
  <w:abstractNum w:abstractNumId="121">
    <w:nsid w:val="5D888A08"/>
    <w:multiLevelType w:val="hybridMultilevel"/>
    <w:lvl w:ilvl="0">
      <w:lvlJc w:val="left"/>
      <w:lvlText w:val="(%1)"/>
      <w:numFmt w:val="lowerLetter"/>
      <w:start w:val="1"/>
    </w:lvl>
  </w:abstractNum>
  <w:abstractNum w:abstractNumId="122">
    <w:nsid w:val="2A082C70"/>
    <w:multiLevelType w:val="hybridMultilevel"/>
    <w:lvl w:ilvl="0">
      <w:lvlJc w:val="left"/>
      <w:lvlText w:val="(%1)"/>
      <w:numFmt w:val="lowerLetter"/>
      <w:start w:val="10"/>
    </w:lvl>
  </w:abstractNum>
  <w:abstractNum w:abstractNumId="123">
    <w:nsid w:val="5EC6AFD4"/>
    <w:multiLevelType w:val="hybridMultilevel"/>
    <w:lvl w:ilvl="0">
      <w:lvlJc w:val="left"/>
      <w:lvlText w:val="(%1)"/>
      <w:numFmt w:val="lowerLetter"/>
      <w:start w:val="15"/>
    </w:lvl>
  </w:abstractNum>
  <w:abstractNum w:abstractNumId="124">
    <w:nsid w:val="19E21BB2"/>
    <w:multiLevelType w:val="hybridMultilevel"/>
    <w:lvl w:ilvl="0">
      <w:lvlJc w:val="left"/>
      <w:lvlText w:val="(%1)"/>
      <w:numFmt w:val="lowerLetter"/>
      <w:start w:val="1"/>
    </w:lvl>
  </w:abstractNum>
  <w:abstractNum w:abstractNumId="125">
    <w:nsid w:val="75E0858A"/>
    <w:multiLevelType w:val="hybridMultilevel"/>
    <w:lvl w:ilvl="0">
      <w:lvlJc w:val="left"/>
      <w:lvlText w:val="(%1)"/>
      <w:numFmt w:val="lowerRoman"/>
      <w:start w:val="4"/>
    </w:lvl>
  </w:abstractNum>
  <w:abstractNum w:abstractNumId="126">
    <w:nsid w:val="57A61A29"/>
    <w:multiLevelType w:val="hybridMultilevel"/>
    <w:lvl w:ilvl="0">
      <w:lvlJc w:val="left"/>
      <w:lvlText w:val="(%1)"/>
      <w:numFmt w:val="lowerRoman"/>
      <w:start w:val="3"/>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endash "/>
      <w:numFmt w:val="bullet"/>
      <w:start w:val="1"/>
    </w:lvl>
  </w:abstractNum>
  <w:abstractNum w:abstractNumId="129">
    <w:nsid w:val="4427069A"/>
    <w:multiLevelType w:val="hybridMultilevel"/>
    <w:lvl w:ilvl="0">
      <w:lvlJc w:val="left"/>
      <w:lvlText w:val="(%1)"/>
      <w:numFmt w:val="lowerLetter"/>
      <w:start w:val="3"/>
    </w:lvl>
  </w:abstractNum>
  <w:abstractNum w:abstractNumId="130">
    <w:nsid w:val="B37E80A"/>
    <w:multiLevelType w:val="hybridMultilevel"/>
    <w:lvl w:ilvl="0">
      <w:lvlJc w:val="left"/>
      <w:lvlText w:val="(%1)"/>
      <w:numFmt w:val="lowerLetter"/>
      <w:start w:val="4"/>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upperLetter"/>
      <w:start w:val="1"/>
    </w:lvl>
    <w:lvl w:ilvl="1">
      <w:lvlJc w:val="left"/>
      <w:lvlText w:val="(%2)"/>
      <w:numFmt w:val="lowerLetter"/>
      <w:start w:val="2"/>
    </w:lvl>
  </w:abstractNum>
  <w:abstractNum w:abstractNumId="133">
    <w:nsid w:val="57D2F10E"/>
    <w:multiLevelType w:val="hybridMultilevel"/>
    <w:lvl w:ilvl="0">
      <w:lvlJc w:val="left"/>
      <w:lvlText w:val="(%1)"/>
      <w:numFmt w:val="upperLetter"/>
      <w:start w:val="2"/>
    </w:lvl>
    <w:lvl w:ilvl="1">
      <w:lvlJc w:val="left"/>
      <w:lvlText w:val="%2"/>
      <w:numFmt w:val="lowerLetter"/>
      <w:start w:val="1"/>
    </w:lvl>
  </w:abstractNum>
  <w:abstractNum w:abstractNumId="134">
    <w:nsid w:val="BFFAE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jpeg"/><Relationship Id="rId144" Type="http://schemas.openxmlformats.org/officeDocument/2006/relationships/image" Target="media/image131.png"/><Relationship Id="rId145" Type="http://schemas.openxmlformats.org/officeDocument/2006/relationships/image" Target="media/image132.jpeg"/><Relationship Id="rId146" Type="http://schemas.openxmlformats.org/officeDocument/2006/relationships/image" Target="media/image133.png"/><Relationship Id="rId147" Type="http://schemas.openxmlformats.org/officeDocument/2006/relationships/image" Target="media/image134.jpeg"/><Relationship Id="rId148" Type="http://schemas.openxmlformats.org/officeDocument/2006/relationships/image" Target="media/image135.png"/><Relationship Id="rId149" Type="http://schemas.openxmlformats.org/officeDocument/2006/relationships/image" Target="media/image136.jpeg"/><Relationship Id="rId150" Type="http://schemas.openxmlformats.org/officeDocument/2006/relationships/image" Target="media/image137.png"/><Relationship Id="rId151" Type="http://schemas.openxmlformats.org/officeDocument/2006/relationships/image" Target="media/image138.jpeg"/><Relationship Id="rId152" Type="http://schemas.openxmlformats.org/officeDocument/2006/relationships/image" Target="media/image139.png"/><Relationship Id="rId153" Type="http://schemas.openxmlformats.org/officeDocument/2006/relationships/image" Target="media/image140.jpeg"/><Relationship Id="rId156" Type="http://schemas.openxmlformats.org/officeDocument/2006/relationships/image" Target="media/image141.png"/><Relationship Id="rId157" Type="http://schemas.openxmlformats.org/officeDocument/2006/relationships/image" Target="media/image142.jpe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22" Type="http://schemas.openxmlformats.org/officeDocument/2006/relationships/hyperlink" Target="https://www.sec.gov/ix?doc=/Archives/edgar/data/1551152/000155115226000008/abbv-20251231.htm" TargetMode="External"/><Relationship Id="rId23" Type="http://schemas.openxmlformats.org/officeDocument/2006/relationships/hyperlink" Target="https://www.sec.gov/ix?doc=/Archives/edgar/data/1974640/000197464026000002/apge-20251231.htm" TargetMode="External"/><Relationship Id="rId25" Type="http://schemas.openxmlformats.org/officeDocument/2006/relationships/hyperlink" Target="https://www.sec.gov/ix?doc=/Archives/edgar/data/1974640/000119312526177342/apge-20260424.htm" TargetMode="External"/><Relationship Id="rId26" Type="http://schemas.openxmlformats.org/officeDocument/2006/relationships/hyperlink" Target="https://www.sec.gov/ix?doc=/Archives/edgar/data/1974640/000119312526177288/apge-20260421.htm" TargetMode="External"/><Relationship Id="rId27" Type="http://schemas.openxmlformats.org/officeDocument/2006/relationships/hyperlink" Target="https://www.sec.gov/ix?doc=/Archives/edgar/data/1974640/000119312526269650/apge-20260609.htm" TargetMode="External"/><Relationship Id="rId28" Type="http://schemas.openxmlformats.org/officeDocument/2006/relationships/hyperlink" Target="https://www.sec.gov/ix?doc=/Archives/edgar/data/1551152/000110465926059484/tm2614276d1_8k.htm" TargetMode="External"/><Relationship Id="rId154" Type="http://schemas.openxmlformats.org/officeDocument/2006/relationships/hyperlink" Target="https://www.sec.gov/ix?doc=/Archives/edgar/data/0001974640/000119312526269650/apge-20260609.htm" TargetMode="External"/><Relationship Id="rId155" Type="http://schemas.openxmlformats.org/officeDocument/2006/relationships/hyperlink" Target="https://www.sec.gov/ix?doc=/Archives/edgar/data/1551152/000110465926033387/abbv-20260508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2026-06-22T06:49:27Z</dcterms:created>
  <dcterms:modified xsi:type="dcterms:W3CDTF">2026-06-22T06:49:27Z</dcterms:modified>
</cp:coreProperties>
</file>