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81400_posasr.htm"/>
      <w:bookmarkStart w:id="1" w:name="ksef20081400_posasr"/>
      <w:bookmarkEnd w:id="0"/>
      <w:bookmarkEnd w:id="1"/>
      <w:r>
        <w:rPr>
          <w:rFonts w:ascii="Times New Roman" w:hAnsi="Times New Roman"/>
          <w:b/>
          <w:color w:val="000000"/>
          <w:sz w:val="20"/>
        </w:rPr>
        <w:t xml:space="preserve">As filed with the Securities and Exchange Commission on September 3, 2026  </w:t>
      </w:r>
    </w:p>
    <w:p>
      <w:pPr>
        <w:pStyle w:val="TextBody"/>
        <w:bidi w:val="0"/>
        <w:spacing w:before="0" w:after="0"/>
        <w:jc w:val="center"/>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333-281503</w:t>
      </w:r>
    </w:p>
    <w:p>
      <w:pPr>
        <w:pStyle w:val="HorizontalLine"/>
        <w:bidi w:val="0"/>
        <w:jc w:val="righ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pPr>
      <w:r>
        <w:rPr/>
        <w:drawing>
          <wp:inline distT="0" distB="0" distL="0" distR="0">
            <wp:extent cx="1181100"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19050"/>
                    </a:xfrm>
                    <a:prstGeom prst="rect">
                      <a:avLst/>
                    </a:prstGeom>
                  </pic:spPr>
                </pic:pic>
              </a:graphicData>
            </a:graphic>
          </wp:inline>
        </w:drawing>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 xml:space="preserve">Washington, D.C. 20549 </w:t>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1181100" cy="19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81100" cy="19050"/>
                    </a:xfrm>
                    <a:prstGeom prst="rect">
                      <a:avLst/>
                    </a:prstGeom>
                  </pic:spPr>
                </pic:pic>
              </a:graphicData>
            </a:graphic>
          </wp:inline>
        </w:drawing>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POST-EFFECTIVE AMENDMENT NO. 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S-3 REGISTRATION STATEMENT NO. 333-281503</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UNDER</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r>
    </w:p>
    <w:p>
      <w:pPr>
        <w:pStyle w:val="TextBody"/>
        <w:bidi w:val="0"/>
        <w:spacing w:before="0" w:after="0"/>
        <w:jc w:val="center"/>
        <w:rPr/>
      </w:pPr>
      <w:r>
        <w:rPr/>
        <w:drawing>
          <wp:inline distT="0" distB="0" distL="0" distR="0">
            <wp:extent cx="1181100" cy="19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81100" cy="19050"/>
                    </a:xfrm>
                    <a:prstGeom prst="rect">
                      <a:avLst/>
                    </a:prstGeom>
                  </pic:spPr>
                </pic:pic>
              </a:graphicData>
            </a:graphic>
          </wp:inline>
        </w:drawing>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APOGEE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(Exact name of Registrant as specified in its charter)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color w:val="000000"/>
        </w:rPr>
      </w:pPr>
      <w:r>
        <w:rPr>
          <w:color w:val="000000"/>
        </w:rPr>
        <w:drawing>
          <wp:inline distT="0" distB="0" distL="0" distR="0">
            <wp:extent cx="1181100" cy="19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81100" cy="1905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a753e68b4cb34ea7ac090620702a927d"/>
      <w:bookmarkStart w:id="3" w:name="za753e68b4cb34ea7ac090620702a927d"/>
      <w:bookmarkEnd w:id="3"/>
    </w:p>
    <w:tbl>
      <w:tblPr>
        <w:tblW w:w="9655" w:type="dxa"/>
        <w:jc w:val="left"/>
        <w:tblInd w:w="0" w:type="dxa"/>
        <w:tblLayout w:type="fixed"/>
        <w:tblCellMar>
          <w:top w:w="0" w:type="dxa"/>
          <w:left w:w="0" w:type="dxa"/>
          <w:bottom w:w="0" w:type="dxa"/>
          <w:right w:w="0" w:type="dxa"/>
        </w:tblCellMar>
      </w:tblPr>
      <w:tblGrid>
        <w:gridCol w:w="5510"/>
        <w:gridCol w:w="4145"/>
      </w:tblGrid>
      <w:tr>
        <w:trPr/>
        <w:tc>
          <w:tcPr>
            <w:tcW w:w="5510" w:type="dxa"/>
            <w:tcBorders/>
            <w:vAlign w:val="center"/>
          </w:tcPr>
          <w:p>
            <w:pPr>
              <w:pStyle w:val="TableContents"/>
              <w:bidi w:val="0"/>
              <w:spacing w:before="0" w:after="0"/>
              <w:jc w:val="center"/>
              <w:rPr>
                <w:b/>
                <w:color w:val="000000"/>
              </w:rPr>
            </w:pPr>
            <w:r>
              <w:rPr>
                <w:b/>
                <w:color w:val="000000"/>
              </w:rPr>
              <w:t>Delaware</w:t>
            </w:r>
          </w:p>
          <w:p>
            <w:pPr>
              <w:pStyle w:val="TableContents"/>
              <w:bidi w:val="0"/>
              <w:spacing w:before="0" w:after="0"/>
              <w:jc w:val="center"/>
              <w:rPr>
                <w:b/>
                <w:color w:val="000000"/>
              </w:rPr>
            </w:pPr>
            <w:r>
              <w:rPr>
                <w:b/>
                <w:color w:val="000000"/>
              </w:rPr>
              <w:t>(State or jurisdiction of incorporation or organization)</w:t>
            </w:r>
          </w:p>
        </w:tc>
        <w:tc>
          <w:tcPr>
            <w:tcW w:w="4145" w:type="dxa"/>
            <w:tcBorders/>
            <w:vAlign w:val="center"/>
          </w:tcPr>
          <w:p>
            <w:pPr>
              <w:pStyle w:val="TableContents"/>
              <w:bidi w:val="0"/>
              <w:spacing w:before="0" w:after="0"/>
              <w:jc w:val="center"/>
              <w:rPr>
                <w:b/>
                <w:color w:val="000000"/>
              </w:rPr>
            </w:pPr>
            <w:r>
              <w:rPr>
                <w:b/>
                <w:color w:val="000000"/>
              </w:rPr>
              <w:t>93-4958665</w:t>
            </w:r>
          </w:p>
          <w:p>
            <w:pPr>
              <w:pStyle w:val="TableContents"/>
              <w:bidi w:val="0"/>
              <w:spacing w:before="0" w:after="0"/>
              <w:jc w:val="center"/>
              <w:rPr>
                <w:b/>
                <w:color w:val="000000"/>
              </w:rPr>
            </w:pPr>
            <w:r>
              <w:rPr>
                <w:b/>
                <w:color w:val="000000"/>
              </w:rPr>
              <w:t>(I.R.S. Employer Identification Number)</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One Letterman Drive, Building B, Suites B6-850 and B6-800,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Presidio of San Francisco, San Francisco, California 94129-1492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(650) 394-5230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(Address, including Zip Code, and Telephone Number, including Area Code, of Registrant’s Principal Executive Offices) </w:t>
      </w:r>
    </w:p>
    <w:p>
      <w:pPr>
        <w:pStyle w:val="TextBody"/>
        <w:bidi w:val="0"/>
        <w:spacing w:before="0" w:after="0"/>
        <w:jc w:val="center"/>
        <w:rPr>
          <w:color w:val="000000"/>
        </w:rPr>
      </w:pPr>
      <w:r>
        <w:rPr>
          <w:color w:val="000000"/>
        </w:rPr>
        <w:drawing>
          <wp:inline distT="0" distB="0" distL="0" distR="0">
            <wp:extent cx="1181100" cy="19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81100" cy="19050"/>
                    </a:xfrm>
                    <a:prstGeom prst="rect">
                      <a:avLst/>
                    </a:prstGeom>
                  </pic:spPr>
                </pic:pic>
              </a:graphicData>
            </a:graphic>
          </wp:inline>
        </w:drawing>
      </w:r>
      <w:r>
        <w:rPr>
          <w:color w:val="000000"/>
        </w:rPr>
        <w:t> </w:t>
      </w:r>
    </w:p>
    <w:p>
      <w:pPr>
        <w:pStyle w:val="TextBody"/>
        <w:bidi w:val="0"/>
        <w:spacing w:before="0" w:after="0"/>
        <w:jc w:val="center"/>
        <w:rPr>
          <w:color w:val="000000"/>
        </w:rPr>
      </w:pPr>
      <w:r>
        <w:rPr>
          <w:color w:val="000000"/>
        </w:rPr>
        <w:t> </w:t>
      </w:r>
      <w:r>
        <w:rPr>
          <w:rFonts w:ascii="Times New Roman" w:hAnsi="Times New Roman"/>
          <w:b/>
          <w:color w:val="000000"/>
          <w:sz w:val="20"/>
        </w:rPr>
        <w:t>Perry C. Siatis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Executive Vice President, General Counsel and Secretary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AbbVie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 North Waukegan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North Chicago, Illinois 60064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(847) 932-7900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16"/>
        </w:rPr>
      </w:pPr>
      <w:r>
        <w:rPr>
          <w:rFonts w:ascii="Times New Roman" w:hAnsi="Times New Roman"/>
          <w:b/>
          <w:color w:val="000000"/>
          <w:sz w:val="20"/>
        </w:rPr>
        <w:t>(Name, Address, and Telephone Number, including Area Code, of Agent for Service)</w:t>
      </w:r>
      <w:r>
        <w:rPr>
          <w:rFonts w:ascii="Times New Roman" w:hAnsi="Times New Roman"/>
          <w:color w:val="000000"/>
          <w:sz w:val="20"/>
        </w:rPr>
        <w:br/>
        <w:t> </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Copy to:</w:t>
      </w:r>
    </w:p>
    <w:p>
      <w:pPr>
        <w:pStyle w:val="TextBody"/>
        <w:bidi w:val="0"/>
        <w:spacing w:before="0" w:after="0"/>
        <w:jc w:val="center"/>
        <w:rPr>
          <w:color w:val="000000"/>
        </w:rPr>
      </w:pPr>
      <w:r>
        <w:rPr>
          <w:color w:val="000000"/>
        </w:rPr>
        <w:t> </w:t>
      </w:r>
      <w:r>
        <w:rPr>
          <w:rFonts w:ascii="Times New Roman" w:hAnsi="Times New Roman"/>
          <w:b/>
          <w:color w:val="000000"/>
          <w:sz w:val="20"/>
        </w:rPr>
        <w:t>Krishna Veeraraghavan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Benjamin M. Goodchild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Paul, Weiss, Rifkind, Wharton &amp; Garrison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1285 Avenue of the Americas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New York 10019-6064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Approximate date of commencement of proposed sale to the public: </w:t>
      </w:r>
      <w:r>
        <w:rPr>
          <w:rFonts w:ascii="Times New Roman" w:hAnsi="Times New Roman"/>
          <w:b/>
          <w:color w:val="000000"/>
          <w:sz w:val="20"/>
        </w:rPr>
        <w:t>Not applicable.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the only securities being registered on this Form are being offered pursuant to dividend or interest reinvestment plans, please check the following box: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90af018a2cc54e369c997b7d74aec4b3"/>
      <w:bookmarkStart w:id="5" w:name="z90af018a2cc54e369c997b7d74aec4b3"/>
      <w:bookmarkEnd w:id="5"/>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0"/>
              <w:jc w:val="left"/>
              <w:rPr>
                <w:color w:val="000000"/>
              </w:rPr>
            </w:pPr>
            <w:r>
              <w:rPr>
                <w:color w:val="000000"/>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color w:val="000000"/>
              </w:rPr>
            </w:pPr>
            <w:r>
              <w:rPr>
                <w:color w:val="000000"/>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0"/>
              <w:jc w:val="left"/>
              <w:rPr>
                <w:color w:val="000000"/>
              </w:rPr>
            </w:pPr>
            <w:r>
              <w:rPr>
                <w:color w:val="000000"/>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color w:val="000000"/>
              </w:rPr>
            </w:pPr>
            <w:r>
              <w:rPr>
                <w:color w:val="000000"/>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bottom w:val="doub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230" w:type="dxa"/>
            <w:tcBorders>
              <w:bottom w:val="doub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2615" w:type="dxa"/>
            <w:tcBorders>
              <w:bottom w:val="double" w:sz="8" w:space="0" w:color="000000"/>
            </w:tcBorders>
            <w:tcMar>
              <w:bottom w:w="28" w:type="dxa"/>
            </w:tcMar>
            <w:vAlign w:val="center"/>
          </w:tcPr>
          <w:p>
            <w:pPr>
              <w:pStyle w:val="TableContents"/>
              <w:bidi w:val="0"/>
              <w:spacing w:before="0" w:after="0"/>
              <w:jc w:val="left"/>
              <w:rPr>
                <w:color w:val="000000"/>
              </w:rPr>
            </w:pPr>
            <w:r>
              <w:rPr>
                <w:color w:val="000000"/>
              </w:rPr>
              <w:t>Emerging growth company</w:t>
            </w:r>
          </w:p>
        </w:tc>
        <w:tc>
          <w:tcPr>
            <w:tcW w:w="245" w:type="dxa"/>
            <w:tcBorders>
              <w:bottom w:val="doub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DEREGISTRATION OF SECURITIES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Post-Effective Amendment (the “Post-Effective Amendment”) relates to the following Registration Statement on Form S-3 (the “Registration Statement”) filed by Apogee Therapeutics, Inc. (“Apogee”) with the Securities and Exchange Commission (the “SEC”):</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745161ebe85048a0adb72f95d485dc3f"/>
      <w:bookmarkStart w:id="7" w:name="z745161ebe85048a0adb72f95d485dc3f"/>
      <w:bookmarkEnd w:id="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pPr>
            <w:r>
              <w:rPr/>
              <w:t>•</w:t>
            </w:r>
          </w:p>
        </w:tc>
        <w:tc>
          <w:tcPr>
            <w:tcW w:w="10080" w:type="dxa"/>
            <w:tcBorders/>
            <w:vAlign w:val="center"/>
          </w:tcPr>
          <w:p>
            <w:pPr>
              <w:pStyle w:val="TableContents"/>
              <w:bidi w:val="0"/>
              <w:spacing w:lineRule="auto" w:line="240" w:before="0" w:after="0"/>
              <w:jc w:val="left"/>
              <w:rPr/>
            </w:pPr>
            <w:r>
              <w:rPr/>
              <w:t>Registration Statement No. 333-281503, originally filed with the SEC on August 12, 2024, relating to: (i) the offering, issuance and sale by Apogee of shares of Apogee’s common stock, preferred stock, debt securities, warrants and/or units, in each case, in one or more offerings, and (ii) the offering, issuance and sale by Apogee of up to a maximum aggregate offering price of $300,000,000 of the common stock issued and sold under an Open Market Sale AgreementSM, dated August 12, 2024, with Jefferies LLC.</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September 3, 2026, Andor Merger Co. (“Merger Sub”), a Delaware corporation and a wholly owned subsidiary of Andor LLC (“Parent”), a Delaware limited liability company, completed its merger (the “Merger”) with and into Apogee pursuant to the terms of the Agreement and Plan of Merger, dated June 18, 2026, among Apogee, Parent, Merger Sub and, solely for the limited purposes set forth therein, AbbVie Inc. (“AbbVie”), a Delaware corporation. Apogee was the surviving corporation in the Merger and, as a result, is now an indirect wholly owned subsidiary of AbbVie.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a result of the Merger, all offerings and sales of securities pursuant to the Registration Statement have been terminated. In accordance with an undertaking made by Apogee in the Registration Statement to remove from registration, by means of a post-effective amendment, any of the securities that had been registered for issuance under the Registration Statement that remain unsold at the termination of such offering, Apogee hereby removes and withdraws from registration all of such securities registered but remaining unsold under the Registration Statement as of the date hereof. The Registration Statement is hereby amended, as appropriate, to reflect the deregistration of such securities. After giving effect to the Post-Effective Amendment, there will be no remaining securities registered by Apogee pursuant to the Registration Statement.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foregoing description of the Merger, the Merger Agreement and the transactions contemplated thereby does not purport to be complete and is subject to, and qualified in its entirety by, the Merger Agreement, which is attached as Exhibit 2.1 to Apogee’s Current Report on Form 8-K filed with the SEC on June 22, 2026.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S-3 and has duly caused this Post-Effective Amendment to the Registration Statement described above to be signed on its behalf by the undersigned, thereunto duly authorized, in North Chicago, Illinois, on September 3,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0eae0737f3de4aa2bd3bd5fd0623ac48"/>
      <w:bookmarkStart w:id="9" w:name="z0eae0737f3de4aa2bd3bd5fd0623ac48"/>
      <w:bookmarkEnd w:id="9"/>
    </w:p>
    <w:tbl>
      <w:tblPr>
        <w:tblW w:w="3469" w:type="dxa"/>
        <w:jc w:val="left"/>
        <w:tblInd w:w="0" w:type="dxa"/>
        <w:tblLayout w:type="fixed"/>
        <w:tblCellMar>
          <w:top w:w="0" w:type="dxa"/>
          <w:left w:w="0" w:type="dxa"/>
          <w:bottom w:w="0" w:type="dxa"/>
          <w:right w:w="0" w:type="dxa"/>
        </w:tblCellMar>
      </w:tblPr>
      <w:tblGrid>
        <w:gridCol w:w="941"/>
        <w:gridCol w:w="2528"/>
      </w:tblGrid>
      <w:tr>
        <w:trPr/>
        <w:tc>
          <w:tcPr>
            <w:tcW w:w="3469" w:type="dxa"/>
            <w:gridSpan w:val="2"/>
            <w:tcBorders/>
            <w:vAlign w:val="center"/>
          </w:tcPr>
          <w:p>
            <w:pPr>
              <w:pStyle w:val="TableContents"/>
              <w:bidi w:val="0"/>
              <w:spacing w:before="0" w:after="0"/>
              <w:jc w:val="left"/>
              <w:rPr>
                <w:color w:val="000000"/>
              </w:rPr>
            </w:pPr>
            <w:r>
              <w:rPr>
                <w:color w:val="000000"/>
              </w:rPr>
              <w:t>APOGEE THERAPEUTICS, INC.</w:t>
            </w:r>
          </w:p>
        </w:tc>
      </w:tr>
      <w:tr>
        <w:trPr/>
        <w:tc>
          <w:tcPr>
            <w:tcW w:w="941" w:type="dxa"/>
            <w:tcBorders/>
            <w:vAlign w:val="center"/>
          </w:tcPr>
          <w:p>
            <w:pPr>
              <w:pStyle w:val="TableContents"/>
              <w:bidi w:val="0"/>
              <w:spacing w:before="0" w:after="0"/>
              <w:jc w:val="left"/>
              <w:rPr>
                <w:color w:val="000000"/>
              </w:rPr>
            </w:pPr>
            <w:r>
              <w:rPr>
                <w:color w:val="000000"/>
              </w:rPr>
              <w:t> </w:t>
            </w:r>
          </w:p>
        </w:tc>
        <w:tc>
          <w:tcPr>
            <w:tcW w:w="2528" w:type="dxa"/>
            <w:tcBorders/>
            <w:vAlign w:val="center"/>
          </w:tcPr>
          <w:p>
            <w:pPr>
              <w:pStyle w:val="TableContents"/>
              <w:bidi w:val="0"/>
              <w:spacing w:before="0" w:after="0"/>
              <w:jc w:val="left"/>
              <w:rPr>
                <w:color w:val="000000"/>
              </w:rPr>
            </w:pPr>
            <w:r>
              <w:rPr>
                <w:color w:val="000000"/>
              </w:rPr>
              <w:t> </w:t>
            </w:r>
          </w:p>
        </w:tc>
      </w:tr>
      <w:tr>
        <w:trPr/>
        <w:tc>
          <w:tcPr>
            <w:tcW w:w="941" w:type="dxa"/>
            <w:tcBorders/>
            <w:vAlign w:val="center"/>
          </w:tcPr>
          <w:p>
            <w:pPr>
              <w:pStyle w:val="TableContents"/>
              <w:bidi w:val="0"/>
              <w:spacing w:before="0" w:after="0"/>
              <w:jc w:val="left"/>
              <w:rPr>
                <w:color w:val="000000"/>
              </w:rPr>
            </w:pPr>
            <w:r>
              <w:rPr>
                <w:color w:val="000000"/>
              </w:rPr>
              <w:t>By:</w:t>
            </w:r>
          </w:p>
        </w:tc>
        <w:tc>
          <w:tcPr>
            <w:tcW w:w="2528" w:type="dxa"/>
            <w:tcBorders/>
            <w:vAlign w:val="center"/>
          </w:tcPr>
          <w:p>
            <w:pPr>
              <w:pStyle w:val="TableContents"/>
              <w:bidi w:val="0"/>
              <w:spacing w:before="0" w:after="0"/>
              <w:jc w:val="left"/>
              <w:rPr>
                <w:color w:val="000000"/>
              </w:rPr>
            </w:pPr>
            <w:r>
              <w:rPr>
                <w:color w:val="000000"/>
              </w:rPr>
              <w:t>/s/ Scott T. Reents</w:t>
            </w:r>
          </w:p>
        </w:tc>
      </w:tr>
      <w:tr>
        <w:trPr/>
        <w:tc>
          <w:tcPr>
            <w:tcW w:w="941" w:type="dxa"/>
            <w:tcBorders/>
            <w:vAlign w:val="center"/>
          </w:tcPr>
          <w:p>
            <w:pPr>
              <w:pStyle w:val="TableContents"/>
              <w:bidi w:val="0"/>
              <w:spacing w:before="0" w:after="0"/>
              <w:jc w:val="left"/>
              <w:rPr>
                <w:color w:val="000000"/>
              </w:rPr>
            </w:pPr>
            <w:r>
              <w:rPr>
                <w:color w:val="000000"/>
              </w:rPr>
              <w:t>Name:</w:t>
            </w:r>
          </w:p>
        </w:tc>
        <w:tc>
          <w:tcPr>
            <w:tcW w:w="2528"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Scott T. Reents</w:t>
            </w:r>
          </w:p>
        </w:tc>
      </w:tr>
      <w:tr>
        <w:trPr/>
        <w:tc>
          <w:tcPr>
            <w:tcW w:w="941" w:type="dxa"/>
            <w:tcBorders/>
            <w:vAlign w:val="center"/>
          </w:tcPr>
          <w:p>
            <w:pPr>
              <w:pStyle w:val="TableContents"/>
              <w:bidi w:val="0"/>
              <w:spacing w:before="0" w:after="0"/>
              <w:jc w:val="left"/>
              <w:rPr>
                <w:color w:val="000000"/>
              </w:rPr>
            </w:pPr>
            <w:r>
              <w:rPr>
                <w:color w:val="000000"/>
              </w:rPr>
              <w:t>Title:</w:t>
            </w:r>
          </w:p>
        </w:tc>
        <w:tc>
          <w:tcPr>
            <w:tcW w:w="2528" w:type="dxa"/>
            <w:tcBorders/>
            <w:vAlign w:val="center"/>
          </w:tcPr>
          <w:p>
            <w:pPr>
              <w:pStyle w:val="TableContents"/>
              <w:bidi w:val="0"/>
              <w:spacing w:before="0" w:after="0"/>
              <w:jc w:val="left"/>
              <w:rPr>
                <w:color w:val="000000"/>
              </w:rPr>
            </w:pPr>
            <w:r>
              <w:rPr>
                <w:color w:val="000000"/>
              </w:rPr>
              <w:t>President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other person is required to sign this Post-Effective Amendment in reliance on Rule 478 of the Securities Act of 1933.</w:t>
      </w:r>
    </w:p>
    <w:p>
      <w:pPr>
        <w:pStyle w:val="TextBody"/>
        <w:bidi w:val="0"/>
        <w:spacing w:before="0" w:after="0"/>
        <w:jc w:val="left"/>
        <w:rPr>
          <w:sz w:val="20"/>
        </w:rPr>
      </w:pPr>
      <w:r>
        <w:rPr>
          <w:sz w:val="20"/>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1005</Words>
  <Characters>5608</Characters>
  <CharactersWithSpaces>6559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