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(State of Incorporation or</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001-41740</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93-4958665</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(I.R.S. Employer Identification</w:t>
      </w:r>
    </w:p>
    <w:p>
      <w:pPr>
        <w:spacing w:after="0" w:line="2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0" w:lineRule="exact"/>
        <w:rPr>
          <w:sz w:val="24"/>
          <w:szCs w:val="24"/>
          <w:color w:val="auto"/>
        </w:rPr>
      </w:pPr>
    </w:p>
    <w:p>
      <w:pPr>
        <w:sectPr>
          <w:pgSz w:w="11900" w:h="16838" w:orient="portrait"/>
          <w:cols w:equalWidth="0" w:num="3">
            <w:col w:w="3860" w:space="720"/>
            <w:col w:w="2900" w:space="720"/>
            <w:col w:w="3040"/>
          </w:cols>
          <w:pgMar w:left="320" w:top="75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 Building 17, Suite 102b,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21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(650) 394-5230</w:t>
      </w:r>
    </w:p>
    <w:p>
      <w:pPr>
        <w:spacing w:after="0" w:line="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APGE</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Participation Right Purchase and Sale Agreement</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On May 26, 2026 (the “Effective Date”), Apogee Therapeutics, Inc. (the “Company”) entered into a revenue participation right purchase and sale agreement (the “Revenue Share Agreement”) with Annapurna Aggregator L.P., an affiliate of funds managed by Blackstone Life Sciences (“BXLS”).</w:t>
      </w:r>
    </w:p>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Pursuant to the Revenue Share Agreement, in exchange for an upfront payment of $100.0 million (the “Tranche 1 Funding”), BXLS purchased from the Company the right to receive tiered revenue share payments (the “Revenue Share Payments”) with respect to annual worldwide net product sales (“Net Sales”) of the Company’s anti-IL-13 antibody, zumilokibart (APG777) (“zumilokibart”).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under the Revenue Share Agreement:</w:t>
      </w:r>
    </w:p>
    <w:p>
      <w:pPr>
        <w:spacing w:after="0" w:line="225" w:lineRule="exact"/>
        <w:rPr>
          <w:sz w:val="20"/>
          <w:szCs w:val="20"/>
          <w:color w:val="auto"/>
        </w:rPr>
      </w:pPr>
    </w:p>
    <w:p>
      <w:pPr>
        <w:jc w:val="both"/>
        <w:ind w:right="260" w:firstLine="8"/>
        <w:spacing w:after="0" w:line="289" w:lineRule="auto"/>
        <w:tabs>
          <w:tab w:leader="none" w:pos="21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BXLS will purchase additional Revenue Share Payments from the Company in exchange for a payment of $100.0 million (the “Tranche 2 Funding”), upon the occurrence of full enrollment of patients in both of the Company’s planned registrational monotherapy Phase 3 clinical trials of zumilokibart in patients with atopic dermatitis (“AD”), coded by the Company as APG777-301 and APG777-302 (the “Zumilokibart Phase 3 Clinical Trials”);</w:t>
      </w:r>
    </w:p>
    <w:p>
      <w:pPr>
        <w:spacing w:after="0" w:line="157" w:lineRule="exact"/>
        <w:rPr>
          <w:rFonts w:ascii="Times New Roman" w:cs="Times New Roman" w:eastAsia="Times New Roman" w:hAnsi="Times New Roman"/>
          <w:sz w:val="17"/>
          <w:szCs w:val="17"/>
          <w:color w:val="auto"/>
        </w:rPr>
      </w:pPr>
    </w:p>
    <w:p>
      <w:pPr>
        <w:ind w:right="200" w:firstLine="8"/>
        <w:spacing w:after="0" w:line="266"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BXLS will purchase additional Revenue Share Payments from the Company in exchange for a payment of $200.0 million (the “Tranche 3 Funding”), upon the occurrence of positive data readouts from the Zumilokibart Phase 3 Clinical Trials meeting agreed upon endpoints with statistical significance; and</w:t>
      </w:r>
    </w:p>
    <w:p>
      <w:pPr>
        <w:spacing w:after="0" w:line="175" w:lineRule="exact"/>
        <w:rPr>
          <w:rFonts w:ascii="Times New Roman" w:cs="Times New Roman" w:eastAsia="Times New Roman" w:hAnsi="Times New Roman"/>
          <w:sz w:val="18"/>
          <w:szCs w:val="18"/>
          <w:color w:val="auto"/>
        </w:rPr>
      </w:pPr>
    </w:p>
    <w:p>
      <w:pPr>
        <w:ind w:right="200" w:firstLine="8"/>
        <w:spacing w:after="0" w:line="266"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BXLS will purchase additional Revenue Share Payments from the Company in exchange for a payment (the “Tranche 4 Funding”) of, at the Company’s election, between $250.0 million and up to $400.0 million (“Tranche 4 Maximum Purchase Price”), upon zumilokibart’s receipt of marketing approval from the U.S. Food and Drug Administration for the treatment of AD on or prior to December 31, 2030 (the “Tranche 4 Trigger”).</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Revenue Share Payments are based on a tiered percentage of aggregate annual Net Sales of zumilokibart (“Annual Aggregate Product Net Sales”). Under the Revenue Share Agreement, the revenue percentage payable to BXLS is the sum of (a) the base revenue percentage (the “Base Revenue Percentage”) and (b) the tranche 4 revenue percentage (the “Tranche 4 Revenue Percentage” and, together with the Base Revenue Percentage, the “Revenue Percentages”), which applies only from and after the Tranche 4 Funding.</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table below summarizes the Revenue Percentages payable to BXLS, based on the tiers of Annual Aggregate Product Net Sales. The Base Revenue Percentage shown reflects the rate applicable after receipt of the Tranche 1 Funding; this rate would double upon receipt of the Tranche 2 Funding, and double again upon receipt of the Tranche 3 Funding. The Tranche 4 Revenue Percentage is subject to proportional adjustment if the Tranche 4 Funding is less than the Tranche 4 Maximum Purchase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Base Revenue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Tranche 4 Revenue</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 Revenue</w:t>
            </w:r>
          </w:p>
        </w:tc>
      </w:tr>
      <w:tr>
        <w:trPr>
          <w:trHeight w:val="238"/>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Annual Aggregate Product Net Sales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and including $5 billion (“Tier 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0.9375%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3.4375%</w:t>
            </w: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excess of $5 billion but less than or equal to $8 billion</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Tranche 4 Revenue Percentage is subject to a cap of $1.0 billion in aggregate Tranche 4-related Revenue Share Payments to BXLS, after which the Tranche 4 Revenue Percentage for Tier 1 decreases to 0.00%.</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Revenue Share Payments will be payable during a term commencing on the date of the first commercial sale of zumilokibart and ending on the fifteenth (15th) anniversary of the date of receipt of marketing approval for zumilokibart.</w:t>
      </w:r>
    </w:p>
    <w:p>
      <w:pPr>
        <w:spacing w:after="0" w:line="162"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If the Company consummates a change of control with a third party, the Company will be required to pay a certain specified amount to BXLS. Such amount will be credited against future Revenue Share Payments otherwise payable to BXLS following the consummation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60"/>
        <w:spacing w:after="0" w:line="256" w:lineRule="auto"/>
        <w:rPr>
          <w:sz w:val="20"/>
          <w:szCs w:val="20"/>
          <w:color w:val="auto"/>
        </w:rPr>
      </w:pPr>
      <w:r>
        <w:rPr>
          <w:rFonts w:ascii="Times New Roman" w:cs="Times New Roman" w:eastAsia="Times New Roman" w:hAnsi="Times New Roman"/>
          <w:sz w:val="18"/>
          <w:szCs w:val="18"/>
          <w:color w:val="auto"/>
        </w:rPr>
        <w:t>In the alternative, at any time after the Company enters into a definitive agreement for a change of control, in lieu of the required payment above, the Company will have the option to pay certain specified amounts to BXLS to buy down a certain percentage of future Revenue Share Payments, if exercised on or prior to the 180-day anniversary of the Effective Date, or on or prior to December 31, 2030 (each, a “Buy-Back Option”). If the Company exercises a Buy-Back Option, the Revenue Percentage will be adjusted downward in accordance with the Revenue Share Agreement, and if the Buy-Back Option is exercised prior to the Tranche 4 Trigger, BXLS will no longer be obligated to pay the Tranche 4 Funding, and in such case the Tranche 4 Revenue Percentages across all tiers will be 0.00%.</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Revenue Share Agreement, for the purposes of providing additional assurance to BXLS, including in the event of a recharacterization, the Company has granted BXLS a backup security interest in, among other things, the revenue participation right, the Revenue Share Payments, and the Company’s intellectual property and other product rights related to zumilokibart. This backup security interest will terminate upon the later of (a) a change of control with a permitted transferee and (b) BXLS’s receipt of the applicable change of control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BXLS also agree to negotiate in good faith a debt financing of up to $500.0 million upon mutual agreement of the parties.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Revenue Share Agreement contains customary representations, warranties and indemnities of the Company and BXLS, and customary covenants on the part of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Revenue Share Agreement does not purport to be complete and is qualified in its entirety by reference to the full text of the Revenue Share Agreement, a copy of which will be filed as an exhibit to the Company’s Quarterly Report on Form 10-Q for the quarter ending June 30, 2026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2026, the Company issued a press release announcing the Revenue Share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Financial Information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result of entering into the transactions described in Item 1.01 of this Current Report on Form 8-K (this “Report”), the Company is removing its cash runway end date guidance.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Report and is incorporated by reference herein. The information furnished under this Item 7.01, including Exhibit 99.1 to this Report, is furnished under Item 7.01 of this Report and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3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4"/>
                <w:szCs w:val="24"/>
                <w:color w:val="auto"/>
              </w:rPr>
            </w:pPr>
          </w:p>
        </w:tc>
        <w:tc>
          <w:tcPr>
            <w:tcW w:w="10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27, 2026</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Apogee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Michael Henderson, M.D.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Henderson, M.D.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167640</wp:posOffset>
            </wp:positionV>
            <wp:extent cx="1868805"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88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Apogee Therapeutics Announces $1.3 Billion Strategic Financing Collaboration with Blackstone Life Sciences to Advance Phase 3 Development and Commercialization of Zumilokibart</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Up to $1.3 billion in flexible, non-dilutive capital, including up to $800 million of synthetic royalty and access of up to $500 million in senior corporate debt</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Combined with company's current total cash of $1.3 billion, this transaction positions Apogee to achieve a self-sustainable financial profile through commercialization of zumilokibart without need for future equity financing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Apogee to host webcast with the APEX Phase 2 Part B results today at 8:00 a.m. Eastern Time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 Francisco and Boston, May 27, 2026, (GLOBE NEWSWIRE) — Apogee Therapeutics, Inc. (Nasdaq: APGE), a clinical-stage biotechnology company advancing optimized, novel biologics with the potential for best-in-class profiles in the largest inflammatory and immunology (I&amp;I) markets, today announced that it has entered into a strategic financing collaboration with funds managed by Blackstone Life Sciences (“Blackstone”) for up to $1.3 billion in flexible, non-dilutive total capital to support the continued development and potential commercialization of zumilokibart.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partnership with Blackstone Life Sciences represents a major milestone in the advancement of zumilokibart as the next meaningful first line therapy for moderate-to-severe atopic dermatitis,” said Michael Henderson, M.D., Chief Executive Officer of Apogee Therapeutics. “This collaboration provides non-dilutive flexible funding at an attractive cost of capital for the late-stage development of zumilokibart and establishes a path to commercialization and profitability for Apogee. As supported by our Apex Part B data announced today, we believe zumilokibart has the potential to be a transformative therapy for patients with differentiated efficacy and dosing in atopic dermatitis and other large I&amp;I indications.”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support Apogee's advancement of zumilokibart through Phase 3 development and potential commercialization,” said Dr. Nicholas Galakatos, Global Head of Blackstone Life Sciences. “Our collaboration with Apogee is a great example of our strategy to provide leading biotechnology companies with non-dilutive financing at scale and the resources and flexibility to further scientific innovation and invest in the advancement of their pipelines."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Added Kiran Reddy, M.D., Senior Managing Director, Blackstone Life Sciences, "This is the largest royalty financing for a pre-Phase 3 program to date. It reflects our conviction that zumilokibart has the potential to become a highly differentiated, multi-indication product that will have a major impact on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collaboration agreement provides for up to $1.3 billion in flexible, non-dilutive total capital, including up to $800 million of synthetic royalty and up to $500 million of senior debt available at the mutual consent of Apogee and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5445760</wp:posOffset>
            </wp:positionH>
            <wp:positionV relativeFrom="page">
              <wp:posOffset>586105</wp:posOffset>
            </wp:positionV>
            <wp:extent cx="186880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68805" cy="6686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Synthetic royalty: </w:t>
      </w:r>
      <w:r>
        <w:rPr>
          <w:rFonts w:ascii="Times New Roman" w:cs="Times New Roman" w:eastAsia="Times New Roman" w:hAnsi="Times New Roman"/>
          <w:sz w:val="18"/>
          <w:szCs w:val="18"/>
          <w:color w:val="auto"/>
        </w:rPr>
        <w:t>Blackstone will provide up to $800 million of synthetic royalty funding in exchange for low-to-mid single digit tiered royalties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term of 15 years on worldwide annual sales of zumilokibart. The royalties decrease based on sales with no royalties on global annual sales in excess of $8 billion.</w:t>
      </w:r>
    </w:p>
    <w:p>
      <w:pPr>
        <w:spacing w:after="0" w:line="175" w:lineRule="exact"/>
        <w:rPr>
          <w:sz w:val="20"/>
          <w:szCs w:val="20"/>
          <w:color w:val="auto"/>
        </w:rPr>
      </w:pPr>
    </w:p>
    <w:p>
      <w:pPr>
        <w:jc w:val="both"/>
        <w:ind w:left="980" w:hanging="324"/>
        <w:spacing w:after="0" w:line="265" w:lineRule="auto"/>
        <w:tabs>
          <w:tab w:leader="none" w:pos="9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first $400 million in preapproval funding is divided into 3 tranches, including $100 million at signing, $100 million upon completion of zumilokibart Phase 3 enrollment, and $200 million upon positive Phase 3 data. Upon FDA approval of zumilokibart, up to $400 million in additional funding is available, $150 million of which is at Apogee’s option</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funding agreement includes specific provisions on a change of control, with the option to buy back a significant portion of the royalty.</w:t>
      </w:r>
    </w:p>
    <w:p>
      <w:pPr>
        <w:spacing w:after="0" w:line="220"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Senior debt: </w:t>
      </w:r>
      <w:r>
        <w:rPr>
          <w:rFonts w:ascii="Times New Roman" w:cs="Times New Roman" w:eastAsia="Times New Roman" w:hAnsi="Times New Roman"/>
          <w:sz w:val="18"/>
          <w:szCs w:val="18"/>
          <w:color w:val="auto"/>
        </w:rPr>
        <w:t>Up to $500 million of senior corporate debt is available at mutual consent of Apogee and Blackstone</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funding agreement can be found in the Current Report on Form 8-K filed by the company today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runway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entering into this funding agreement with Blackstone, the company is removing its cash runway end date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Apogee Therapeutics will hold a live webcast to discuss the Blackstone transaction and the results of the APEX Phase 2 Part B trial today at 8:00 a.m. ET. The live webcast can be accessed via this link or the Investors section on the company’s website at </w:t>
      </w:r>
      <w:r>
        <w:rPr>
          <w:rFonts w:ascii="Times New Roman" w:cs="Times New Roman" w:eastAsia="Times New Roman" w:hAnsi="Times New Roman"/>
          <w:sz w:val="18"/>
          <w:szCs w:val="18"/>
          <w:u w:val="single" w:color="auto"/>
          <w:color w:val="auto"/>
        </w:rPr>
        <w:t>https://investors.apogeetherapeutics.com/news-events/events</w:t>
      </w:r>
      <w:r>
        <w:rPr>
          <w:rFonts w:ascii="Times New Roman" w:cs="Times New Roman" w:eastAsia="Times New Roman" w:hAnsi="Times New Roman"/>
          <w:sz w:val="18"/>
          <w:szCs w:val="18"/>
          <w:color w:val="auto"/>
        </w:rPr>
        <w:t>. A replay of the webcast will be available following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Goldman Sachs served as exclusive financial advisor and Latham &amp; Watkins LLP as legal counsel to Apogee Therapeutics. Ropes &amp; Gray LLP served as legal counsel to Blackstone Life Sciences.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Apogee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Apogee Therapeutics is a clinical-stage biotechnology company advancing novel biologics with potential for differentiated efficacy and dosing in the largest I&amp;I markets, including for the treatment of AD, asthma, eosinophilic esophagitis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 Zumilokibart, the company’s most advanced program, is being initially developed for the treatment of AD, which is the largest and one of the least penetrated I&amp;I markets, as well as asthma and EoE. With four validated targets in its portfolio, Apogee is seeking to achieve best-in-class efficacy and dosing through monotherapies and combinations of its novel antibodies. Based on a broad pipeline and depth of expertise, the company believes it can deliver value and meaningful benefit to patients underserved by today’s standard of care. For more information, please visit https://apogeetherapeutics.com.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5445760</wp:posOffset>
            </wp:positionH>
            <wp:positionV relativeFrom="page">
              <wp:posOffset>586105</wp:posOffset>
            </wp:positionV>
            <wp:extent cx="186880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6686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Blackstone Life Sciences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Blackstone Life Sciences (BXLS) is a leading private investment platform with capabilities to invest across the life cycle of companies and products within the key life science sectors. By combining scale investments and hands-on operational leadership, BXLS helps bring to market promising new medicines and medical technologies that improve patients’ lives and currently has $17 billion in assets under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federal securities laws, including, but not limited to, statements regarding Apogee’s expectations regarding: Apogee’s plans for its current and future product candidates, programs, and clinical trials, including the Phase 3 development and potential commercialization of zumilokibart and expansion of zumilokibart into additional indications; the potential clinical benefit, dosing regimen, safety and efficacy profiles and treatment outcomes of zumilokibart, including its potential to be a best-in-class therapy, be the next meaningful first line therapy for AD, overcome limitations of existing therapies, and be the new standard of care in AD; the potential for Apogee product candidates and programs to overcome limitations of existing therapies; the potential of zumilokibart to become a differentiated, multi-indication product; its planned business strategies; the financial resources available to Apogee, including the availability of capital from the synthetic royalty and potential debt arrangement and whether Apogee achieves the milestones associated with certain payments thereunder and whether Apogee elects to receive optional funding under the arrangement, if available; its expectations regarding the time period over which Apogee’s capital resources will be sufficient to fund its anticipated operations, including its self-sustainable financial profile through commercialization of zumilokibart without the need for future equity financing; its potential profitability; and estimates of market size.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Apogee believes these forward-looking statements are reasonable, undue reliance should not be placed on any such forward-looking statements, which are based on information available to Apogee on the date of this release. These forward-looking statements are based upon current estimates and assumptions and are subject to various risks and uncertainties (including, without limitation, those set forth in Apogee’s filings with the U.S. Securities and Exchange Commission (the SEC)), many of which are beyond Apogee’s control and subject to change. Actual results could be materially different. Risks and uncertainties include: global macroeconomic conditions and related volatility, expectations regarding the initiation, progress, and expected results of Apogee’s preclinical studies, clinical trials and research and development programs; expectations regarding the timing, completion and outcome of Apogee’s clinical trials; the unpredictable relationship between preclinical study results and clinical study results; the applicability of clinical study results to actual outcomes; the timing or likelihood of regulatory filings and approvals; liquidity and capital resources; and other risks and uncertainties identified in Apogee’s Annual Report on Form 10-K for the year ended December 31, 2025, filed with the SEC on March 2, 2026, and subsequent disclosure documents Apogee may file with the SEC. Apogee claims the protection of the Safe Harbor contained in the Private Securities Litigation Reform Act of 1995 for forward-looking statements. Apogee expressly disclaims any obligation to update or alter any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5445760</wp:posOffset>
            </wp:positionH>
            <wp:positionV relativeFrom="page">
              <wp:posOffset>586105</wp:posOffset>
            </wp:positionV>
            <wp:extent cx="186880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68805" cy="6686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Apogee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Noel Kurdi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Noel.Kurdi@apogeetherapeutics.com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Apogee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Life Sciences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Vitek</w:t>
      </w:r>
    </w:p>
    <w:p>
      <w:pPr>
        <w:spacing w:after="0" w:line="9" w:lineRule="exact"/>
        <w:rPr>
          <w:sz w:val="20"/>
          <w:szCs w:val="20"/>
          <w:color w:val="auto"/>
        </w:rPr>
      </w:pPr>
    </w:p>
    <w:p>
      <w:pPr>
        <w:ind w:right="7959" w:firstLine="8"/>
        <w:spacing w:after="0" w:line="260"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583-5291 </w:t>
      </w:r>
      <w:r>
        <w:rPr>
          <w:rFonts w:ascii="Times New Roman" w:cs="Times New Roman" w:eastAsia="Times New Roman" w:hAnsi="Times New Roman"/>
          <w:sz w:val="18"/>
          <w:szCs w:val="18"/>
          <w:u w:val="single" w:color="auto"/>
          <w:color w:val="auto"/>
        </w:rPr>
        <w:t>David.Vitek@blackstone.com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2026-05-27T05:42:01Z</dcterms:created>
  <dcterms:modified xsi:type="dcterms:W3CDTF">2026-05-27T05:42:01Z</dcterms:modified>
</cp:coreProperties>
</file>