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Henderson Jane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APOGEE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LETTERMAN DRIVE, BUILDING B</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Apogee Therapeutics, Inc.</w:t>
              </w:r>
            </w:hyperlink>
            <w:r>
              <w:rPr/>
              <w:t xml:space="preserve"> [ </w:t>
            </w:r>
            <w:r>
              <w:rPr>
                <w:rFonts w:ascii="Times;serif" w:hAnsi="Times;serif"/>
                <w:color w:val="0000FF"/>
                <w:sz w:val="24"/>
                <w:shd w:fill="FFFFFF" w:val="clear"/>
              </w:rPr>
              <w:t>APGE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1059"/>
        <w:gridCol w:w="454"/>
        <w:gridCol w:w="616"/>
        <w:gridCol w:w="1163"/>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2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158,371</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22.86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175,345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175,345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49.07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124,962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12/09/2034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124,962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75.78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83,690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83,690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represent shares of the Issuer's common stock disposed of pursuant to the terms of the Agreement and Plan of Merger, dated as of June 18, 2026 (the "Merger Agreement"), among Andor LLC, Andor Merger Co., the Issuer and AbbVie Inc.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options were vested as of the date of the Merger or became fully vested in connection with the Merger.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reported option was disposed of, pursuant to the Merger Agreement, in exchange for a cash payment equal to the excess of the per share merger consideration of $135.11 over the exercise price of such option.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Batters, as attorney-in-fact for Jane Pritchett Henderson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22304" TargetMode="External"/><Relationship Id="rId5" Type="http://schemas.openxmlformats.org/officeDocument/2006/relationships/hyperlink" Target="http://www.sec.gov/cgi-bin/browse-edgar?action=getcompany&amp;CIK=00019746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3882</Characters>
  <CharactersWithSpaces>4503</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