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HorizontalLine"/>
        <w:bidi w:val="0"/>
        <w:jc w:val="center"/>
        <w:rPr/>
      </w:pPr>
      <w:r>
        <w:rPr/>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September 3, 2026</w:t>
      </w:r>
    </w:p>
    <w:p>
      <w:pPr>
        <w:pStyle w:val="TextBody"/>
        <w:bidi w:val="0"/>
        <w:spacing w:before="0" w:after="0"/>
        <w:jc w:val="left"/>
        <w:rPr>
          <w:color w:val="000000"/>
          <w:shd w:fill="FFFFFF" w:val="clear"/>
        </w:rPr>
      </w:pPr>
      <w:r>
        <w:rPr>
          <w:color w:val="000000"/>
          <w:shd w:fill="FFFFFF" w:val="clear"/>
        </w:rPr>
        <w:t> </w:t>
      </w:r>
    </w:p>
    <w:p>
      <w:pPr>
        <w:pStyle w:val="HorizontalLine"/>
        <w:bidi w:val="0"/>
        <w:jc w:val="center"/>
        <w:rPr/>
      </w:pPr>
      <w:r>
        <w:rPr/>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APOGEE THERAPEUTICS,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color w:val="000000"/>
          <w:shd w:fill="FFFFFF" w:val="clear"/>
        </w:rPr>
      </w:pPr>
      <w:r>
        <w:rPr>
          <w:color w:val="000000"/>
          <w:shd w:fill="FFFFFF" w:val="clear"/>
        </w:rPr>
        <w:t xml:space="preserve">  </w:t>
      </w:r>
    </w:p>
    <w:p>
      <w:pPr>
        <w:pStyle w:val="HorizontalLine"/>
        <w:bidi w:val="0"/>
        <w:jc w:val="center"/>
        <w:rPr/>
      </w:pPr>
      <w:r>
        <w:rPr/>
      </w:r>
    </w:p>
    <w:p>
      <w:pPr>
        <w:pStyle w:val="TextBody"/>
        <w:bidi w:val="0"/>
        <w:spacing w:before="0" w:after="0"/>
        <w:jc w:val="left"/>
        <w:rPr>
          <w:color w:val="000000"/>
          <w:shd w:fill="FFFFFF" w:val="clear"/>
        </w:rPr>
      </w:pPr>
      <w:r>
        <w:rPr>
          <w:color w:val="000000"/>
          <w:shd w:fill="FFFFFF" w:val="clear"/>
        </w:rPr>
        <w:t> </w:t>
      </w:r>
    </w:p>
    <w:tbl>
      <w:tblPr>
        <w:tblW w:w="9090" w:type="dxa"/>
        <w:jc w:val="left"/>
        <w:tblInd w:w="0" w:type="dxa"/>
        <w:tblLayout w:type="fixed"/>
        <w:tblCellMar>
          <w:top w:w="0" w:type="dxa"/>
          <w:left w:w="0" w:type="dxa"/>
          <w:bottom w:w="0" w:type="dxa"/>
          <w:right w:w="0" w:type="dxa"/>
        </w:tblCellMar>
      </w:tblPr>
      <w:tblGrid>
        <w:gridCol w:w="3770"/>
        <w:gridCol w:w="2300"/>
        <w:gridCol w:w="3020"/>
      </w:tblGrid>
      <w:tr>
        <w:trPr/>
        <w:tc>
          <w:tcPr>
            <w:tcW w:w="37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001-41740</w:t>
            </w:r>
          </w:p>
        </w:tc>
        <w:tc>
          <w:tcPr>
            <w:tcW w:w="30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93-4958665</w:t>
            </w:r>
          </w:p>
        </w:tc>
      </w:tr>
      <w:tr>
        <w:trPr/>
        <w:tc>
          <w:tcPr>
            <w:tcW w:w="37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30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color w:val="000000"/>
          <w:shd w:fill="FFFFFF" w:val="clear"/>
        </w:rPr>
      </w:pPr>
      <w:r>
        <w:rPr>
          <w:color w:val="000000"/>
          <w:shd w:fill="FFFFFF" w:val="clear"/>
        </w:rPr>
        <w:t> </w:t>
      </w:r>
    </w:p>
    <w:tbl>
      <w:tblPr>
        <w:tblW w:w="6190" w:type="dxa"/>
        <w:jc w:val="left"/>
        <w:tblInd w:w="0" w:type="dxa"/>
        <w:tblLayout w:type="fixed"/>
        <w:tblCellMar>
          <w:top w:w="0" w:type="dxa"/>
          <w:left w:w="0" w:type="dxa"/>
          <w:bottom w:w="0" w:type="dxa"/>
          <w:right w:w="0" w:type="dxa"/>
        </w:tblCellMar>
      </w:tblPr>
      <w:tblGrid>
        <w:gridCol w:w="5105"/>
        <w:gridCol w:w="60"/>
        <w:gridCol w:w="1025"/>
      </w:tblGrid>
      <w:tr>
        <w:trPr/>
        <w:tc>
          <w:tcPr>
            <w:tcW w:w="51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One Letterman Drive, Building B, Suites B6-850 and B6-800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The Presidio of San Francisco, San Francisco, California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94129-1492</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 (650) 394-5230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color w:val="000000"/>
          <w:shd w:fill="FFFFFF" w:val="clear"/>
        </w:rPr>
      </w:pPr>
      <w:r>
        <w:rPr>
          <w:color w:val="000000"/>
          <w:shd w:fill="FFFFFF" w:val="clear"/>
        </w:rPr>
        <w:t> </w:t>
      </w:r>
    </w:p>
    <w:p>
      <w:pPr>
        <w:pStyle w:val="HorizontalLine"/>
        <w:bidi w:val="0"/>
        <w:jc w:val="center"/>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540" w:right="0" w:hanging="54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540" w:right="0" w:hanging="540"/>
        <w:jc w:val="left"/>
        <w:rPr>
          <w:color w:val="000000"/>
          <w:shd w:fill="FFFFFF" w:val="clear"/>
        </w:rPr>
      </w:pPr>
      <w:r>
        <w:rPr>
          <w:color w:val="000000"/>
          <w:shd w:fill="FFFFFF" w:val="clear"/>
        </w:rPr>
        <w:t> </w:t>
      </w:r>
    </w:p>
    <w:tbl>
      <w:tblPr>
        <w:tblW w:w="9265" w:type="dxa"/>
        <w:jc w:val="left"/>
        <w:tblInd w:w="0" w:type="dxa"/>
        <w:tblLayout w:type="fixed"/>
        <w:tblCellMar>
          <w:top w:w="0" w:type="dxa"/>
          <w:left w:w="0" w:type="dxa"/>
          <w:bottom w:w="0" w:type="dxa"/>
          <w:right w:w="0" w:type="dxa"/>
        </w:tblCellMar>
      </w:tblPr>
      <w:tblGrid>
        <w:gridCol w:w="245"/>
        <w:gridCol w:w="9020"/>
      </w:tblGrid>
      <w:tr>
        <w:trPr/>
        <w:tc>
          <w:tcPr>
            <w:tcW w:w="245" w:type="dxa"/>
            <w:tcBorders/>
            <w:vAlign w:val="center"/>
          </w:tcPr>
          <w:p>
            <w:pPr>
              <w:pStyle w:val="TableContents"/>
              <w:bidi w:val="0"/>
              <w:spacing w:before="0" w:after="283"/>
              <w:jc w:val="left"/>
              <w:rPr>
                <w:color w:val="000000"/>
              </w:rPr>
            </w:pPr>
            <w:r>
              <w:rPr>
                <w:color w:val="000000"/>
              </w:rPr>
              <w:t>☐</w:t>
            </w:r>
          </w:p>
        </w:tc>
        <w:tc>
          <w:tcPr>
            <w:tcW w:w="90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CFR240.14d-2(b))</w:t>
            </w:r>
          </w:p>
        </w:tc>
      </w:tr>
    </w:tbl>
    <w:p>
      <w:pPr>
        <w:pStyle w:val="TextBody"/>
        <w:bidi w:val="0"/>
        <w:spacing w:before="0" w:after="0"/>
        <w:ind w:left="540" w:right="0" w:hanging="54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6900" w:type="dxa"/>
        <w:jc w:val="left"/>
        <w:tblInd w:w="0" w:type="dxa"/>
        <w:tblLayout w:type="fixed"/>
        <w:tblCellMar>
          <w:top w:w="0" w:type="dxa"/>
          <w:left w:w="0" w:type="dxa"/>
          <w:bottom w:w="28" w:type="dxa"/>
          <w:right w:w="0" w:type="dxa"/>
        </w:tblCellMar>
      </w:tblPr>
      <w:tblGrid>
        <w:gridCol w:w="3710"/>
        <w:gridCol w:w="60"/>
        <w:gridCol w:w="860"/>
        <w:gridCol w:w="60"/>
        <w:gridCol w:w="2210"/>
      </w:tblGrid>
      <w:tr>
        <w:trPr/>
        <w:tc>
          <w:tcPr>
            <w:tcW w:w="37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Ticker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7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$0.00001 per share</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APGE</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Introductory Note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previously disclosed, on June 18, 2026, Apogee Therapeutics, Inc., a Delaware corporation (the “Company”) entered into an Agreement and Plan of Merger (the “Merger Agreement”) with Andor LLC, a Delaware limited liability company and a wholly owned subsidiary of Guarantor (“Parent”), Andor Merger Co., a Delaware corporation and a wholly owned subsidiary of Parent (“Merger Sub”), and solely for the limited purposes set forth therein, AbbVie Inc., a Delaware corporation (“Guarantor” or “AbbVie”). Capitalized terms used herein and not otherwise defined herein have the meanings set forth in the Merger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Merger Agreement, on September 3, 2026, Merger Sub merged with and into the Company (the “Merger”), with the Company surviving the Merger as a wholly owned subsidiary of Parent.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Merger Agreement, at the effective time of the Merger (the “Effective Time”):</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each share of voting common stock of the Company, par value $0.00001 per share, and each share of non-voting common stock of the Company, par value $0.00001 per share (each, a “Share”), outstanding immediately prior to the Effective Time, but excluding each Share (A) owned by the Company or any of its wholly owned subsidiaries, (B) held by Guarantor, Parent, Merger Sub or any other wholly owned subsidiary of Guarantor, and (C) held by a stockholder who had not voted in favor of the adoption of the Merger Agreement or consented thereto and who was entitled to and properly demanded appraisal, was cancelled and converted into the right to receive $135.11 per Share in cash (the “Merger Consideration”), without interest and subject to any applicable tax withholding;</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998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each option to purchase Shares (each, a “Company Option”) outstanding immediately prior to the Effective Time (whether vested or unvested) that had an exercise price per Share less than the Merger Consideration was cancelled and converted into the right to receive cash in an amount equal to the product of: (A) the total number of Shares subject to such Company Option immediately prior to the Effective Time, multiplied by (B) the excess of (x) the Merger Consideration over (y) the exercise price per Share under such Company Option, without interest and subject to any applicable tax withholding. Each Company Option outstanding immediately prior to the Effective Time (whether vested or unvested) that had an exercise price per Share greater than or equal to the Merger Consideration was cancelled without any consideration being payable in respect thereof, and had no further force or effect;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(iii)</w:t>
            </w:r>
          </w:p>
        </w:tc>
        <w:tc>
          <w:tcPr>
            <w:tcW w:w="99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each restricted stock unit award of the Company (each, a “Company RSU”) outstanding immediately prior to the Effective Time became fully vested and was cancelled and converted into the right to receive a lump sum cash payment, without interest and subject to any applicable tax withholding, equal to the product of (A) the Merger Consideration, multiplied by (B) the number of Shares subject to such Company RSU;</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(iv)</w:t>
            </w:r>
          </w:p>
        </w:tc>
        <w:tc>
          <w:tcPr>
            <w:tcW w:w="992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each outstanding restricted stock award of the Company (the “Company Restricted Stock”) outstanding immediately prior to the Effective Time became fully vested and was converted into the right to receive the Merger Consideration for each such share of Company Restricted Stock;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w:t>
            </w:r>
          </w:p>
        </w:tc>
        <w:tc>
          <w:tcPr>
            <w:tcW w:w="999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each warrant exercisable for Shares (each, a “Company Warrant”) outstanding immediately prior to the Effective Time, in accordance with its terms, became exercisable by the holder thereof solely for the same Merger Consideration that such holder would have been entitled to receive if such holder had been, immediately prior to the Effective Time, the holder of the number of Shares that were issuable upon exercise in full of such Company Warrant without regard to any limitations on exercise contained in such Company Warrant.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Merger Agreement and the transactions contemplated thereby contained in this Introductory Note does not purport to be complete and is subject to, and qualified in its entirety by, the full text of the Merger Agreement, a copy of which is attached as Exhibit 2.1 to the Company’s Current Report on Form 8-K filed with the U.S. Securities and Exchange Commission (the “SEC”) on June 22, 2026 and the terms of which are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tbl>
      <w:tblPr>
        <w:tblW w:w="4990" w:type="dxa"/>
        <w:jc w:val="left"/>
        <w:tblInd w:w="0" w:type="dxa"/>
        <w:tblLayout w:type="fixed"/>
        <w:tblCellMar>
          <w:top w:w="0" w:type="dxa"/>
          <w:left w:w="0" w:type="dxa"/>
          <w:bottom w:w="0" w:type="dxa"/>
          <w:right w:w="0" w:type="dxa"/>
        </w:tblCellMar>
      </w:tblPr>
      <w:tblGrid>
        <w:gridCol w:w="830"/>
        <w:gridCol w:w="41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1.02</w:t>
            </w:r>
          </w:p>
        </w:tc>
        <w:tc>
          <w:tcPr>
            <w:tcW w:w="41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Termination of a Material Definitive Agreement.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Effective as of the Effective Time, the Company terminated the Company’s 2023 Equity Incentive Plan and 2023 Employee Stock Purchase Plan.</w:t>
      </w:r>
    </w:p>
    <w:p>
      <w:pPr>
        <w:pStyle w:val="TextBody"/>
        <w:bidi w:val="0"/>
        <w:spacing w:before="0" w:after="0"/>
        <w:jc w:val="left"/>
        <w:rPr>
          <w:color w:val="000000"/>
          <w:shd w:fill="FFFFFF" w:val="clear"/>
        </w:rPr>
      </w:pPr>
      <w:r>
        <w:rPr>
          <w:color w:val="000000"/>
          <w:shd w:fill="FFFFFF" w:val="clear"/>
        </w:rPr>
        <w:t> </w:t>
      </w:r>
    </w:p>
    <w:tbl>
      <w:tblPr>
        <w:tblW w:w="5110" w:type="dxa"/>
        <w:jc w:val="left"/>
        <w:tblInd w:w="0" w:type="dxa"/>
        <w:tblLayout w:type="fixed"/>
        <w:tblCellMar>
          <w:top w:w="0" w:type="dxa"/>
          <w:left w:w="0" w:type="dxa"/>
          <w:bottom w:w="0" w:type="dxa"/>
          <w:right w:w="0" w:type="dxa"/>
        </w:tblCellMar>
      </w:tblPr>
      <w:tblGrid>
        <w:gridCol w:w="830"/>
        <w:gridCol w:w="428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2.01</w:t>
            </w:r>
          </w:p>
        </w:tc>
        <w:tc>
          <w:tcPr>
            <w:tcW w:w="428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Completion of Acquisition or Disposition of Assets.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disclosures in the Introductory Note, Item 3.01, Item 3.03, Item 5.01, Item 5.02 and Item 5.03 are incorporated herein by reference.</w:t>
      </w:r>
    </w:p>
    <w:p>
      <w:pPr>
        <w:pStyle w:val="TextBody"/>
        <w:bidi w:val="0"/>
        <w:spacing w:before="0" w:after="0"/>
        <w:jc w:val="left"/>
        <w:rPr>
          <w:color w:val="000000"/>
          <w:shd w:fill="FFFFFF" w:val="clear"/>
        </w:rPr>
      </w:pPr>
      <w:r>
        <w:rPr>
          <w:color w:val="000000"/>
          <w:shd w:fill="FFFFFF" w:val="clear"/>
        </w:rPr>
        <w:t> </w:t>
      </w:r>
    </w:p>
    <w:tbl>
      <w:tblPr>
        <w:tblW w:w="9115" w:type="dxa"/>
        <w:jc w:val="left"/>
        <w:tblInd w:w="0" w:type="dxa"/>
        <w:tblLayout w:type="fixed"/>
        <w:tblCellMar>
          <w:top w:w="0" w:type="dxa"/>
          <w:left w:w="0" w:type="dxa"/>
          <w:bottom w:w="0" w:type="dxa"/>
          <w:right w:w="0" w:type="dxa"/>
        </w:tblCellMar>
      </w:tblPr>
      <w:tblGrid>
        <w:gridCol w:w="830"/>
        <w:gridCol w:w="8285"/>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3.01</w:t>
            </w:r>
          </w:p>
        </w:tc>
        <w:tc>
          <w:tcPr>
            <w:tcW w:w="828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Notice of Delisting or Failure to Satisfy a Continued Listing Rule or Standard; Transfer of Listing.</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disclosures in the Introductory Note are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3, 2026, the Company (i) notified the Nasdaq Global Market (“Nasdaq”) of the consummation of the Merger and its intent to remove all Company Common Stock from Nasdaq and (ii) requested that Nasdaq (A) maintain the halt in trading of Company Common Stock, which was effective following the closing of after-hours trading on September 2, 2026, through September 3, 2026, and (B) file with the SEC a Form 25 Notification of Removal from Listing and/or Registration to delist and deregister the Company Common Stock under Section 12(b) of the Securities Exchange Act of 1934, as amended (the “Exchange Act”). As a result, Company Common Stock will be suspended from trading on Nasdaq on September 4, 2026. Following the effectiveness of such Form 25, the Company intends to file with the SEC a Certification and Notice of Termination of Registration on Form 15 under the Exchange Act, requesting the termination of registration of the Company Common Stock under Section 12(g) of the Exchange Act and the suspension of the Company’s reporting obligations under Sections 13 and 15(d) of the Exchange Act.</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tbl>
      <w:tblPr>
        <w:tblW w:w="5275" w:type="dxa"/>
        <w:jc w:val="left"/>
        <w:tblInd w:w="0" w:type="dxa"/>
        <w:tblLayout w:type="fixed"/>
        <w:tblCellMar>
          <w:top w:w="0" w:type="dxa"/>
          <w:left w:w="0" w:type="dxa"/>
          <w:bottom w:w="0" w:type="dxa"/>
          <w:right w:w="0" w:type="dxa"/>
        </w:tblCellMar>
      </w:tblPr>
      <w:tblGrid>
        <w:gridCol w:w="830"/>
        <w:gridCol w:w="4445"/>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3.03</w:t>
            </w:r>
          </w:p>
        </w:tc>
        <w:tc>
          <w:tcPr>
            <w:tcW w:w="444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Material Modification to Rights of Security Holders.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disclosures under the Introductory Note, Item 3.01, Item 5.01 and Item 5.03 are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Merger, each Share outstanding immediately prior to the Effective Time (except as described in the Introductory Note) was converted, at the Effective Time, into the right to receive the Merger Consideration, without interest thereon and subject to any applicable tax withholding, in accordance with the terms of the Merger Agreement. Accordingly, at the Effective Time, the holders of such Shares ceased to have any rights as stockholders of the Company, other than the right to receive the Merger Consideration.</w:t>
      </w:r>
    </w:p>
    <w:p>
      <w:pPr>
        <w:pStyle w:val="TextBody"/>
        <w:bidi w:val="0"/>
        <w:spacing w:before="0" w:after="0"/>
        <w:jc w:val="left"/>
        <w:rPr>
          <w:color w:val="000000"/>
          <w:shd w:fill="FFFFFF" w:val="clear"/>
        </w:rPr>
      </w:pPr>
      <w:r>
        <w:rPr>
          <w:color w:val="000000"/>
          <w:shd w:fill="FFFFFF" w:val="clear"/>
        </w:rPr>
        <w:t> </w:t>
      </w:r>
    </w:p>
    <w:tbl>
      <w:tblPr>
        <w:tblW w:w="3685" w:type="dxa"/>
        <w:jc w:val="left"/>
        <w:tblInd w:w="0" w:type="dxa"/>
        <w:tblLayout w:type="fixed"/>
        <w:tblCellMar>
          <w:top w:w="0" w:type="dxa"/>
          <w:left w:w="0" w:type="dxa"/>
          <w:bottom w:w="0" w:type="dxa"/>
          <w:right w:w="0" w:type="dxa"/>
        </w:tblCellMar>
      </w:tblPr>
      <w:tblGrid>
        <w:gridCol w:w="830"/>
        <w:gridCol w:w="2855"/>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5.01</w:t>
            </w:r>
          </w:p>
        </w:tc>
        <w:tc>
          <w:tcPr>
            <w:tcW w:w="285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Changes in Control of Registrant.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disclosures under the Introductory Note, Item 2.01, Item 3.01, Item 3.03, Item 5.02 and Item 5.03 are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consummation of the Merger, there was a change in control of the Company, and the Company became an indirect wholly owned subsidiary of AbbVie. The total equity value of the transaction was approximately $10.9 billion. AbbVie funded the Merger with a combination of cash on hand and debt.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the knowledge of the Company, there are no arrangements which may at a subsequent date result in a further change in control of the Company.</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731"/>
        <w:gridCol w:w="9474"/>
      </w:tblGrid>
      <w:tr>
        <w:trPr/>
        <w:tc>
          <w:tcPr>
            <w:tcW w:w="731"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5.02</w:t>
            </w:r>
          </w:p>
        </w:tc>
        <w:tc>
          <w:tcPr>
            <w:tcW w:w="9474"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disclosures under the Introductory Note and Item 2.01 are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Merger and effective as of, and contingent upon, the Effective Time, all of the Company’s directors (Michael Henderson, M.D., Mark C. McKenna, Lisa Bollinger, M.D., Jennifer Fox, William (BJ) Jones, Jr., Tomas Kiselak and Nimish Shah) voluntarily resigned from the Company’s board of directors and the directors of Merger Sub immediately prior to the Effective Time became the directors of the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as of the Effective Time, each of the Company’s executive officers no longer serves in their respective positions at the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1, 2026, the Company entered into agreements with each of its named executive officers, providing that, in the event that the applicable executive receives any payments or benefits in connection with the merger that are subject to an excise tax imposed by Section 4999 of the Internal Revenue Code, as amended, such executive will receive a payment that puts such executive or director in the same after-tax position as though such tax did not apply. The aggregate amount payable to all service providers of the Company who enter into such an agreement, including the named executive officers, is limited to $12,500,000. The foregoing description of the agreement is qualified in its entirety by reference to the Form of Agreement Regarding Parachute Payments, a copy of which is filed as Exhibit 10.1 hereto and is incorporated by reference into this Item 5.02.</w:t>
      </w:r>
    </w:p>
    <w:p>
      <w:pPr>
        <w:pStyle w:val="TextBody"/>
        <w:bidi w:val="0"/>
        <w:spacing w:before="0" w:after="0"/>
        <w:jc w:val="left"/>
        <w:rPr>
          <w:color w:val="000000"/>
          <w:shd w:fill="FFFFFF" w:val="clear"/>
        </w:rPr>
      </w:pPr>
      <w:r>
        <w:rPr>
          <w:color w:val="000000"/>
          <w:shd w:fill="FFFFFF" w:val="clear"/>
        </w:rPr>
        <w:t> </w:t>
      </w:r>
    </w:p>
    <w:tbl>
      <w:tblPr>
        <w:tblW w:w="7255" w:type="dxa"/>
        <w:jc w:val="left"/>
        <w:tblInd w:w="0" w:type="dxa"/>
        <w:tblLayout w:type="fixed"/>
        <w:tblCellMar>
          <w:top w:w="0" w:type="dxa"/>
          <w:left w:w="0" w:type="dxa"/>
          <w:bottom w:w="0" w:type="dxa"/>
          <w:right w:w="0" w:type="dxa"/>
        </w:tblCellMar>
      </w:tblPr>
      <w:tblGrid>
        <w:gridCol w:w="830"/>
        <w:gridCol w:w="6425"/>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5.03</w:t>
            </w:r>
          </w:p>
        </w:tc>
        <w:tc>
          <w:tcPr>
            <w:tcW w:w="642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Amendments to Articles of Incorporation or Bylaws; Change of Fiscal Year.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disclosures under the Introductory Note are incorporated herein by reference.</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Merger Agreement, effective as of the Effective Time, the amended and restated certificate of incorporation of the Company and the amended and restated by-laws of the Company were each amended and restated in their entirety, as set forth in Exhibits 3.1 and 3.2, respectively, to this Current Report on Form 8-K, which are incorporated herein by reference.</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tbl>
      <w:tblPr>
        <w:tblW w:w="1000" w:type="dxa"/>
        <w:jc w:val="left"/>
        <w:tblInd w:w="0" w:type="dxa"/>
        <w:tblLayout w:type="fixed"/>
        <w:tblCellMar>
          <w:top w:w="0" w:type="dxa"/>
          <w:left w:w="0" w:type="dxa"/>
          <w:bottom w:w="0" w:type="dxa"/>
          <w:right w:w="0" w:type="dxa"/>
        </w:tblCellMar>
      </w:tblPr>
      <w:tblGrid>
        <w:gridCol w:w="245"/>
        <w:gridCol w:w="755"/>
      </w:tblGrid>
      <w:tr>
        <w:trPr/>
        <w:tc>
          <w:tcPr>
            <w:tcW w:w="24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w:t>
            </w:r>
          </w:p>
        </w:tc>
        <w:tc>
          <w:tcPr>
            <w:tcW w:w="7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Exhibits.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665"/>
        <w:gridCol w:w="140"/>
        <w:gridCol w:w="9400"/>
      </w:tblGrid>
      <w:tr>
        <w:trPr/>
        <w:tc>
          <w:tcPr>
            <w:tcW w:w="6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Exhibit</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Number</w:t>
            </w:r>
          </w:p>
        </w:tc>
        <w:tc>
          <w:tcPr>
            <w:tcW w:w="140" w:type="dxa"/>
            <w:tcBorders/>
            <w:vAlign w:val="center"/>
          </w:tcPr>
          <w:p>
            <w:pPr>
              <w:pStyle w:val="TableContents"/>
              <w:bidi w:val="0"/>
              <w:spacing w:before="0" w:after="0"/>
              <w:jc w:val="left"/>
              <w:rPr>
                <w:color w:val="000000"/>
              </w:rPr>
            </w:pPr>
            <w:r>
              <w:rPr>
                <w:color w:val="000000"/>
              </w:rPr>
              <w:t> </w:t>
            </w:r>
          </w:p>
        </w:tc>
        <w:tc>
          <w:tcPr>
            <w:tcW w:w="940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Description</w:t>
            </w:r>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jc w:val="both"/>
              <w:rPr/>
            </w:pPr>
            <w:hyperlink r:id="rId2">
              <w:r>
                <w:rPr>
                  <w:rStyle w:val="InternetLink"/>
                  <w:rFonts w:ascii="Times New Roman" w:hAnsi="Times New Roman"/>
                  <w:color w:val="000000"/>
                  <w:sz w:val="20"/>
                </w:rPr>
                <w:t>2.1*</w:t>
              </w:r>
            </w:hyperlink>
          </w:p>
        </w:tc>
        <w:tc>
          <w:tcPr>
            <w:tcW w:w="140" w:type="dxa"/>
            <w:tcBorders/>
            <w:vAlign w:val="center"/>
          </w:tcPr>
          <w:p>
            <w:pPr>
              <w:pStyle w:val="TableContents"/>
              <w:bidi w:val="0"/>
              <w:spacing w:before="0" w:after="0"/>
              <w:jc w:val="left"/>
              <w:rPr>
                <w:color w:val="000000"/>
              </w:rPr>
            </w:pPr>
            <w:r>
              <w:rPr>
                <w:color w:val="000000"/>
              </w:rPr>
              <w:t> </w:t>
            </w:r>
          </w:p>
        </w:tc>
        <w:tc>
          <w:tcPr>
            <w:tcW w:w="9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Agreement and Plan of Merger, dated as of June 18, 2026, by and among Apogee Therapeutics, Inc., Andor LLC, Andor Merger Co., and solely for the limited purposes set forth therein, AbbVie Inc. (incorporated by reference to Exhibit 2.1 to the Company’s Current Report on Form 8-K filed with the SEC on June 22, 2026)</w:t>
            </w:r>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jc w:val="both"/>
              <w:rPr/>
            </w:pPr>
            <w:hyperlink w:anchor="ef20081397_ex3-1.htm">
              <w:r>
                <w:rPr>
                  <w:rStyle w:val="InternetLink"/>
                  <w:rFonts w:ascii="Times New Roman" w:hAnsi="Times New Roman"/>
                  <w:color w:val="000000"/>
                  <w:sz w:val="20"/>
                </w:rPr>
                <w:t>3.1**</w:t>
              </w:r>
            </w:hyperlink>
          </w:p>
        </w:tc>
        <w:tc>
          <w:tcPr>
            <w:tcW w:w="140" w:type="dxa"/>
            <w:tcBorders/>
            <w:vAlign w:val="center"/>
          </w:tcPr>
          <w:p>
            <w:pPr>
              <w:pStyle w:val="TableContents"/>
              <w:bidi w:val="0"/>
              <w:spacing w:before="0" w:after="0"/>
              <w:jc w:val="left"/>
              <w:rPr>
                <w:color w:val="000000"/>
              </w:rPr>
            </w:pPr>
            <w:r>
              <w:rPr>
                <w:color w:val="000000"/>
              </w:rPr>
              <w:t> </w:t>
            </w:r>
          </w:p>
        </w:tc>
        <w:tc>
          <w:tcPr>
            <w:tcW w:w="9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Second Amended and Restated Certificate of Incorporation of Apogee Therapeutics, Inc.</w:t>
            </w:r>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jc w:val="both"/>
              <w:rPr/>
            </w:pPr>
            <w:hyperlink w:anchor="ef20081397_ex3-2.htm">
              <w:r>
                <w:rPr>
                  <w:rStyle w:val="InternetLink"/>
                  <w:rFonts w:ascii="Times New Roman" w:hAnsi="Times New Roman"/>
                  <w:color w:val="000000"/>
                  <w:sz w:val="20"/>
                </w:rPr>
                <w:t>3.2**</w:t>
              </w:r>
            </w:hyperlink>
          </w:p>
        </w:tc>
        <w:tc>
          <w:tcPr>
            <w:tcW w:w="140" w:type="dxa"/>
            <w:tcBorders/>
            <w:vAlign w:val="center"/>
          </w:tcPr>
          <w:p>
            <w:pPr>
              <w:pStyle w:val="TableContents"/>
              <w:bidi w:val="0"/>
              <w:spacing w:before="0" w:after="0"/>
              <w:jc w:val="left"/>
              <w:rPr>
                <w:color w:val="000000"/>
              </w:rPr>
            </w:pPr>
            <w:r>
              <w:rPr>
                <w:color w:val="000000"/>
              </w:rPr>
              <w:t> </w:t>
            </w:r>
          </w:p>
        </w:tc>
        <w:tc>
          <w:tcPr>
            <w:tcW w:w="9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Amended and Restated By-laws of Apogee Therapeutics, Inc.</w:t>
            </w:r>
          </w:p>
        </w:tc>
      </w:tr>
      <w:tr>
        <w:trPr/>
        <w:tc>
          <w:tcPr>
            <w:tcW w:w="66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jc w:val="both"/>
              <w:rPr/>
            </w:pPr>
            <w:hyperlink w:anchor="ef20081397_ex10-1.htm">
              <w:r>
                <w:rPr>
                  <w:rStyle w:val="InternetLink"/>
                  <w:rFonts w:ascii="Times New Roman" w:hAnsi="Times New Roman"/>
                  <w:color w:val="000000"/>
                  <w:sz w:val="20"/>
                </w:rPr>
                <w:t>10.1**</w:t>
              </w:r>
            </w:hyperlink>
          </w:p>
        </w:tc>
        <w:tc>
          <w:tcPr>
            <w:tcW w:w="140" w:type="dxa"/>
            <w:tcBorders/>
            <w:vAlign w:val="center"/>
          </w:tcPr>
          <w:p>
            <w:pPr>
              <w:pStyle w:val="TableContents"/>
              <w:bidi w:val="0"/>
              <w:spacing w:before="0" w:after="0"/>
              <w:jc w:val="left"/>
              <w:rPr>
                <w:color w:val="000000"/>
              </w:rPr>
            </w:pPr>
            <w:r>
              <w:rPr>
                <w:color w:val="000000"/>
              </w:rPr>
              <w:t>†</w:t>
            </w:r>
          </w:p>
        </w:tc>
        <w:tc>
          <w:tcPr>
            <w:tcW w:w="9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Form of Agreement Regarding Parachute Payments</w:t>
            </w:r>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104**</w:t>
            </w:r>
          </w:p>
        </w:tc>
        <w:tc>
          <w:tcPr>
            <w:tcW w:w="140" w:type="dxa"/>
            <w:tcBorders/>
            <w:vAlign w:val="center"/>
          </w:tcPr>
          <w:p>
            <w:pPr>
              <w:pStyle w:val="TableContents"/>
              <w:bidi w:val="0"/>
              <w:spacing w:before="0" w:after="0"/>
              <w:jc w:val="left"/>
              <w:rPr>
                <w:color w:val="000000"/>
              </w:rPr>
            </w:pPr>
            <w:r>
              <w:rPr>
                <w:color w:val="000000"/>
              </w:rPr>
              <w:t> </w:t>
            </w:r>
          </w:p>
        </w:tc>
        <w:tc>
          <w:tcPr>
            <w:tcW w:w="940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p>
            <w:pPr>
              <w:pStyle w:val="TableContents"/>
              <w:bidi w:val="0"/>
              <w:spacing w:before="0" w:after="0"/>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6"/>
        <w:jc w:val="left"/>
        <w:rPr>
          <w:rFonts w:ascii="Times New Roman" w:hAnsi="Times New Roman"/>
          <w:color w:val="000000"/>
          <w:sz w:val="20"/>
          <w:shd w:fill="FFFFFF" w:val="clear"/>
        </w:rPr>
      </w:pPr>
      <w:r>
        <w:rPr>
          <w:rFonts w:ascii="Times New Roman" w:hAnsi="Times New Roman"/>
          <w:color w:val="000000"/>
          <w:sz w:val="20"/>
          <w:shd w:fill="FFFFFF" w:val="clear"/>
        </w:rPr>
        <w:t>*Schedules have been omitted pursuant to Item 601(a)(5) of Regulation S-K. The Company hereby undertakes to furnish supplemental copies of any of the omitted schedules upon request by the SEC; provided, that the Company may request confidential treatment pursuant to Rule 24b-2 of the Securities Exchange Act of 1934, as amended, for any schedules so furnished.</w:t>
      </w:r>
    </w:p>
    <w:p>
      <w:pPr>
        <w:pStyle w:val="TextBody"/>
        <w:bidi w:val="0"/>
        <w:spacing w:before="0" w:after="0"/>
        <w:ind w:left="0" w:right="0" w:firstLine="6"/>
        <w:jc w:val="left"/>
        <w:rPr>
          <w:rFonts w:ascii="Times New Roman" w:hAnsi="Times New Roman"/>
          <w:color w:val="000000"/>
          <w:sz w:val="20"/>
          <w:shd w:fill="FFFFFF" w:val="clear"/>
        </w:rPr>
      </w:pPr>
      <w:r>
        <w:rPr>
          <w:rFonts w:ascii="Times New Roman" w:hAnsi="Times New Roman"/>
          <w:color w:val="000000"/>
          <w:sz w:val="20"/>
          <w:shd w:fill="FFFFFF" w:val="clear"/>
        </w:rPr>
        <w:t>** Filed herewith.</w:t>
      </w:r>
    </w:p>
    <w:p>
      <w:pPr>
        <w:pStyle w:val="TextBody"/>
        <w:bidi w:val="0"/>
        <w:spacing w:before="0" w:after="0"/>
        <w:ind w:left="0" w:right="0" w:firstLine="6"/>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Indicates management contract or compensatory plan.</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4260" w:type="dxa"/>
        <w:jc w:val="left"/>
        <w:tblInd w:w="0" w:type="dxa"/>
        <w:tblLayout w:type="fixed"/>
        <w:tblCellMar>
          <w:top w:w="0" w:type="dxa"/>
          <w:left w:w="0" w:type="dxa"/>
          <w:bottom w:w="0" w:type="dxa"/>
          <w:right w:w="0" w:type="dxa"/>
        </w:tblCellMar>
      </w:tblPr>
      <w:tblGrid>
        <w:gridCol w:w="2120"/>
        <w:gridCol w:w="320"/>
        <w:gridCol w:w="1820"/>
      </w:tblGrid>
      <w:tr>
        <w:trPr/>
        <w:tc>
          <w:tcPr>
            <w:tcW w:w="2120"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Apogee Therapeutics, Inc.</w:t>
            </w:r>
          </w:p>
        </w:tc>
      </w:tr>
      <w:tr>
        <w:trPr/>
        <w:tc>
          <w:tcPr>
            <w:tcW w:w="2120"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Dated: September 3, 2026</w:t>
            </w:r>
          </w:p>
        </w:tc>
        <w:tc>
          <w:tcPr>
            <w:tcW w:w="3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By:</w:t>
            </w:r>
          </w:p>
        </w:tc>
        <w:tc>
          <w:tcPr>
            <w:tcW w:w="1820" w:type="dxa"/>
            <w:tcBorders>
              <w:bottom w:val="single" w:sz="12" w:space="0" w:color="000000"/>
            </w:tcBorders>
            <w:tcMar>
              <w:bottom w:w="28" w:type="dxa"/>
            </w:tcMar>
            <w:vAlign w:val="center"/>
          </w:tcPr>
          <w:p>
            <w:pPr>
              <w:pStyle w:val="TableContents"/>
              <w:bidi w:val="0"/>
              <w:spacing w:before="0" w:after="0"/>
              <w:jc w:val="both"/>
              <w:rPr/>
            </w:pPr>
            <w:r>
              <w:rPr>
                <w:color w:val="000000"/>
              </w:rPr>
              <w:t> </w:t>
            </w:r>
            <w:r>
              <w:rPr>
                <w:rFonts w:ascii="Times New Roman" w:hAnsi="Times New Roman"/>
                <w:color w:val="000000"/>
                <w:sz w:val="20"/>
              </w:rPr>
              <w:t xml:space="preserve">/s/ </w:t>
            </w:r>
            <w:r>
              <w:rPr>
                <w:rFonts w:ascii="Times New Roman" w:hAnsi="Times New Roman"/>
                <w:sz w:val="20"/>
              </w:rPr>
              <w:t>Scott T. Reents</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both"/>
              <w:rPr>
                <w:rFonts w:ascii="Times New Roman" w:hAnsi="Times New Roman"/>
                <w:sz w:val="20"/>
              </w:rPr>
            </w:pPr>
            <w:r>
              <w:rPr>
                <w:rFonts w:ascii="Times New Roman" w:hAnsi="Times New Roman"/>
                <w:color w:val="000000"/>
                <w:sz w:val="20"/>
              </w:rPr>
              <w:t xml:space="preserve">Name: </w:t>
            </w:r>
            <w:r>
              <w:rPr>
                <w:rFonts w:ascii="Times New Roman" w:hAnsi="Times New Roman"/>
                <w:sz w:val="20"/>
              </w:rPr>
              <w:t>Scott T. Reents</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Title: President</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81397_ex3-1.htm"/>
      <w:bookmarkStart w:id="1" w:name="ksef20081397_ex31"/>
      <w:bookmarkStart w:id="2" w:name="ef20081397_ex3-1.htm"/>
      <w:bookmarkStart w:id="3" w:name="ksef20081397_ex3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SECOND AMENDED AND RESTATED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CERTIFICATE OF INCORPORATION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APOGEE THERAPEUTICS, INC.</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0"/>
          <w:u w:val="single"/>
        </w:rPr>
        <w:t>FIRST</w:t>
      </w:r>
      <w:r>
        <w:rPr>
          <w:rFonts w:ascii="Times New Roman" w:hAnsi="Times New Roman"/>
          <w:color w:val="000000"/>
          <w:sz w:val="20"/>
        </w:rPr>
        <w:t>: The name of the corporation is Apogee Therapeutics, Inc. (hereinafter, the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0"/>
          <w:u w:val="single"/>
        </w:rPr>
        <w:t>SECOND</w:t>
      </w:r>
      <w:r>
        <w:rPr>
          <w:rFonts w:ascii="Times New Roman" w:hAnsi="Times New Roman"/>
          <w:color w:val="000000"/>
          <w:sz w:val="20"/>
        </w:rPr>
        <w:t>: The address of the Corporation’s registered office in the State of Delaware is c/o Corporate Creations Network Inc., 1521 Concord Pike, Suite 201, Wilmington, DE 19803, New Castle County, USA, and the name of its registered agent at such address is Corporate Creations Network Inc.</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0"/>
          <w:u w:val="single"/>
        </w:rPr>
        <w:t>THIRD</w:t>
      </w:r>
      <w:r>
        <w:rPr>
          <w:rFonts w:ascii="Times New Roman" w:hAnsi="Times New Roman"/>
          <w:color w:val="000000"/>
          <w:sz w:val="20"/>
        </w:rPr>
        <w:t>: The purpose of the Corporation is to engage in any lawful act or activity for which a corporation may be organized under the Delaware General Corporation Law (“DGCL”).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0"/>
          <w:u w:val="single"/>
        </w:rPr>
        <w:t>FOURTH</w:t>
      </w:r>
      <w:r>
        <w:rPr>
          <w:rFonts w:ascii="Times New Roman" w:hAnsi="Times New Roman"/>
          <w:color w:val="000000"/>
          <w:sz w:val="20"/>
        </w:rPr>
        <w:t>: The total number of shares of stock which the Corporation shall have authority to issue is 1,000 shares of common stock, par value $0.001 per share.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0"/>
          <w:u w:val="single"/>
        </w:rPr>
        <w:t>FIFTH</w:t>
      </w:r>
      <w:r>
        <w:rPr>
          <w:rFonts w:ascii="Times New Roman" w:hAnsi="Times New Roman"/>
          <w:color w:val="000000"/>
          <w:sz w:val="20"/>
        </w:rPr>
        <w:t>: The business and affairs of the Corporation shall be managed by or under the direction of the board of directors, and the directors need not be elected by written ballot unless required by the bylaws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0"/>
          <w:u w:val="single"/>
        </w:rPr>
        <w:t>SIXTH</w:t>
      </w:r>
      <w:r>
        <w:rPr>
          <w:rFonts w:ascii="Times New Roman" w:hAnsi="Times New Roman"/>
          <w:color w:val="000000"/>
          <w:sz w:val="20"/>
        </w:rPr>
        <w:t>: In furtherance and not in limitation of the powers conferred by the laws of the State of Delaware, the board of directors is expressly authorized to make, amend or repeal the bylaws or adopt new bylaws without any action on the part of the stockholders of the Corporation; provided that any by-law adopted or amended by the board of directors, and any powers thereby conferred, may be amended, altered or repealed by the stockholders of the Corporation.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0"/>
          <w:u w:val="single"/>
        </w:rPr>
        <w:t>SEVENTH</w:t>
      </w:r>
      <w:r>
        <w:rPr>
          <w:rFonts w:ascii="Times New Roman" w:hAnsi="Times New Roman"/>
          <w:color w:val="000000"/>
          <w:sz w:val="20"/>
        </w:rPr>
        <w:t>: To the fullest extent permitted by the DGCL as the same exists or may hereafter be amended, no director or officer of the Corporation shall be personally liable to the Corporation or its stockholders for monetary damages for breach of fiduciary duty as a director or officer, as applicable. Solely for purposes of this Article VII, “officer” shall have the meaning provided in Section 102(b)(7) of the DGCL. Any amendment, alteration or repeal of this Article VII that adversely affects any right of a director or officer shall be prospective only and shall not limit or eliminate any such right with respect to any proceeding involving any occurrence or alleged occurrence of any action or omission to act that took place prior to such amendment, alteration or repeal.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0"/>
          <w:u w:val="single"/>
        </w:rPr>
        <w:t>EIGHTH</w:t>
      </w:r>
      <w:r>
        <w:rPr>
          <w:rFonts w:ascii="Times New Roman" w:hAnsi="Times New Roman"/>
          <w:color w:val="000000"/>
          <w:sz w:val="20"/>
        </w:rPr>
        <w:t>: To the extent allowed by Delaware law, the doctrine of corporate opportunity, or any other analogous doctrine, shall not apply with respect to the Corporation or any of its directors or stockholders and the Corporation renounces any expectancy that any of the directors or stockholders of the Corporation will offer any such corporate opportunity of which he or she may become aware to the Corporation, except, the doctrine of corporate opportunity shall apply with respect to any of the directors or stockholders of the Corporation that are employees, consultants or officers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0"/>
          <w:u w:val="single"/>
        </w:rPr>
        <w:t>NINTH</w:t>
      </w:r>
      <w:r>
        <w:rPr>
          <w:rFonts w:ascii="Times New Roman" w:hAnsi="Times New Roman"/>
          <w:color w:val="000000"/>
          <w:sz w:val="20"/>
        </w:rPr>
        <w:t>: The Corporation reserves the right to amend and repeal any provision contained in this Certificate of Incorporation in the manner from time to time as prescribed by the laws of the State of Delaware. All rights herein conferred are granted subject to this reservation.</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4" w:name="ef20081397_ex3-2.htm"/>
      <w:bookmarkStart w:id="5" w:name="ksef20081397_ex32"/>
      <w:bookmarkStart w:id="6" w:name="ef20081397_ex3-2.htm"/>
      <w:bookmarkStart w:id="7" w:name="ksef20081397_ex32"/>
      <w:bookmarkEnd w:id="6"/>
      <w:bookmarkEnd w:id="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AMENDED AND RESTATED BYLAWS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APOGEE THERAPEUTICS, INC.</w:t>
      </w:r>
    </w:p>
    <w:p>
      <w:pPr>
        <w:pStyle w:val="TextBody"/>
        <w:bidi w:val="0"/>
        <w:spacing w:before="0" w:after="0"/>
        <w:jc w:val="left"/>
        <w:rPr>
          <w:color w:val="000000"/>
        </w:rPr>
      </w:pPr>
      <w:r>
        <w:rPr>
          <w:color w:val="000000"/>
        </w:rPr>
        <w:t> </w:t>
      </w:r>
    </w:p>
    <w:p>
      <w:pPr>
        <w:pStyle w:val="TextBody"/>
        <w:bidi w:val="0"/>
        <w:spacing w:before="0" w:after="0"/>
        <w:ind w:left="3848" w:right="3856" w:hanging="6"/>
        <w:jc w:val="center"/>
        <w:rPr>
          <w:rFonts w:ascii="Times New Roman" w:hAnsi="Times New Roman"/>
          <w:color w:val="000000"/>
          <w:sz w:val="20"/>
        </w:rPr>
      </w:pPr>
      <w:r>
        <w:rPr>
          <w:rFonts w:ascii="Times New Roman" w:hAnsi="Times New Roman"/>
          <w:color w:val="000000"/>
          <w:sz w:val="20"/>
        </w:rPr>
        <w:t xml:space="preserve">ARTICLE I </w:t>
      </w:r>
    </w:p>
    <w:p>
      <w:pPr>
        <w:pStyle w:val="TextBody"/>
        <w:bidi w:val="0"/>
        <w:spacing w:before="0" w:after="0"/>
        <w:ind w:left="3848" w:right="3856" w:hanging="6"/>
        <w:jc w:val="center"/>
        <w:rPr>
          <w:rFonts w:ascii="Times New Roman" w:hAnsi="Times New Roman"/>
          <w:color w:val="000000"/>
          <w:sz w:val="20"/>
        </w:rPr>
      </w:pPr>
      <w:r>
        <w:rPr>
          <w:rFonts w:ascii="Times New Roman" w:hAnsi="Times New Roman"/>
          <w:color w:val="000000"/>
          <w:sz w:val="20"/>
        </w:rPr>
        <w:t>STOCKHOLDERS</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1.          </w:t>
      </w:r>
      <w:r>
        <w:rPr>
          <w:rFonts w:ascii="Times New Roman" w:hAnsi="Times New Roman"/>
          <w:color w:val="000000"/>
          <w:sz w:val="20"/>
          <w:u w:val="single"/>
        </w:rPr>
        <w:t>Annual Meeting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20" w:firstLine="1440"/>
        <w:jc w:val="both"/>
        <w:rPr>
          <w:rFonts w:ascii="Times New Roman" w:hAnsi="Times New Roman"/>
          <w:color w:val="000000"/>
          <w:sz w:val="20"/>
        </w:rPr>
      </w:pPr>
      <w:r>
        <w:rPr>
          <w:rFonts w:ascii="Times New Roman" w:hAnsi="Times New Roman"/>
          <w:color w:val="000000"/>
          <w:sz w:val="20"/>
        </w:rPr>
        <w:t>An annual meeting of the stockholders, for the election of the directors to succeed those whose terms expire and for the transaction of such other business as may properly come before the meeting, shall be held at such place, on such date, and at such time as the Board of Directors (the “</w:t>
      </w:r>
      <w:r>
        <w:rPr>
          <w:rFonts w:ascii="Times New Roman" w:hAnsi="Times New Roman"/>
          <w:i/>
          <w:color w:val="000000"/>
          <w:sz w:val="20"/>
        </w:rPr>
        <w:t>Board of Directors</w:t>
      </w:r>
      <w:r>
        <w:rPr>
          <w:rFonts w:ascii="Times New Roman" w:hAnsi="Times New Roman"/>
          <w:color w:val="000000"/>
          <w:sz w:val="20"/>
        </w:rPr>
        <w:t>”) of Apogee Therapeutics, Inc. (the “</w:t>
      </w:r>
      <w:r>
        <w:rPr>
          <w:rFonts w:ascii="Times New Roman" w:hAnsi="Times New Roman"/>
          <w:i/>
          <w:color w:val="000000"/>
          <w:sz w:val="20"/>
        </w:rPr>
        <w:t>Corporation</w:t>
      </w:r>
      <w:r>
        <w:rPr>
          <w:rFonts w:ascii="Times New Roman" w:hAnsi="Times New Roman"/>
          <w:color w:val="000000"/>
          <w:sz w:val="20"/>
        </w:rPr>
        <w:t>”) shall each year fix, which date shall be within 13 months of the last annual meeting of stockholders or, if no such meeting has been held, the date of incorporation.</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2.          </w:t>
      </w:r>
      <w:r>
        <w:rPr>
          <w:rFonts w:ascii="Times New Roman" w:hAnsi="Times New Roman"/>
          <w:color w:val="000000"/>
          <w:sz w:val="20"/>
          <w:u w:val="single"/>
        </w:rPr>
        <w:t>Special Meetings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5" w:firstLine="1440"/>
        <w:jc w:val="both"/>
        <w:rPr>
          <w:rFonts w:ascii="Times New Roman" w:hAnsi="Times New Roman"/>
          <w:color w:val="000000"/>
          <w:sz w:val="20"/>
        </w:rPr>
      </w:pPr>
      <w:r>
        <w:rPr>
          <w:rFonts w:ascii="Times New Roman" w:hAnsi="Times New Roman"/>
          <w:color w:val="000000"/>
          <w:sz w:val="20"/>
        </w:rPr>
        <w:t>Special meetings of the stockholders, for any purpose or purposes prescribed in the notice of the meeting, may be called by the Board of Directors or the president and shall be held at such place, on such date, and at such time as they or he or she shall fix.</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3.          </w:t>
      </w:r>
      <w:r>
        <w:rPr>
          <w:rFonts w:ascii="Times New Roman" w:hAnsi="Times New Roman"/>
          <w:color w:val="000000"/>
          <w:sz w:val="20"/>
          <w:u w:val="single"/>
        </w:rPr>
        <w:t>Notice of Meetings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3" w:firstLine="1440"/>
        <w:jc w:val="both"/>
        <w:rPr>
          <w:rFonts w:ascii="Times New Roman" w:hAnsi="Times New Roman"/>
          <w:color w:val="000000"/>
          <w:sz w:val="20"/>
        </w:rPr>
      </w:pPr>
      <w:r>
        <w:rPr>
          <w:rFonts w:ascii="Times New Roman" w:hAnsi="Times New Roman"/>
          <w:color w:val="000000"/>
          <w:sz w:val="20"/>
        </w:rPr>
        <w:t>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10 nor more than 60 days before the date on which the meeting is to be held, to each stockholder entitled to vote at such meeting as of the record date for determining the stockholders entitled to notice of the meeting, except as otherwise provided herein or required by law (meaning, here and hereinafter, as required from time to time by the Delaware General Corporation Law or the Certificate of Incorporation of the Corporation (the “</w:t>
      </w:r>
      <w:r>
        <w:rPr>
          <w:rFonts w:ascii="Times New Roman" w:hAnsi="Times New Roman"/>
          <w:i/>
          <w:color w:val="000000"/>
          <w:sz w:val="20"/>
        </w:rPr>
        <w:t>Certificate of Incorporation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13" w:firstLine="1440"/>
        <w:jc w:val="both"/>
        <w:rPr>
          <w:rFonts w:ascii="Times New Roman" w:hAnsi="Times New Roman"/>
          <w:color w:val="000000"/>
          <w:sz w:val="20"/>
        </w:rPr>
      </w:pPr>
      <w:r>
        <w:rPr>
          <w:rFonts w:ascii="Times New Roman" w:hAnsi="Times New Roman"/>
          <w:color w:val="000000"/>
          <w:sz w:val="20"/>
        </w:rPr>
        <w:t>When a meeting is adjourned to another time or place, notice need not be given of the adjourned meeting if the time and place, if any, thereof, and the means of remote communications, if any, by which stockholders and proxyholders may be deemed to be present in person and vote at such adjourned meeting are announced at the meeting at which the adjournment is taken; provided, however, that if the date of any adjourned meeting is more than 30 days after the date for which the meeting was originally noticed, notice of the place, if any, date, and time of the adjourned meeting and the means of remote communications, if any, by which stockholders and proxyholders may be deemed to be present in person and vote at such adjourned meeting, shall be given to each stockholder in conformity herewith. If after the adjournment a new record date for stockholders entitled to vote is fixed for the adjourned meeting, the Board of Directors shall fix a new record date for notice of such adjourned meeting, which record date shall not precede the date upon which the resolution fixing the record date is adopted by the Board of Directors and, except as otherwise required by law, shall not be more than 60 nor less than 10 days before the date of such adjourned meeting, and shall give notice of the adjourned meeting to each stockholder of record entitled to vote at such adjourned meeting as of the record date fixed for notice of such adjourned meeting. At any adjourned meeting, any business may be transacted which might have been transacted at the original meeting.</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spacing w:before="200" w:after="200"/>
        <w:jc w:val="left"/>
        <w:rPr/>
      </w:pPr>
      <w:r>
        <w:rPr/>
      </w:r>
    </w:p>
    <w:p>
      <w:pPr>
        <w:pStyle w:val="TextBody"/>
        <w:bidi w:val="0"/>
        <w:spacing w:before="0" w:after="0"/>
        <w:ind w:left="839" w:right="0" w:hanging="0"/>
        <w:jc w:val="left"/>
        <w:rPr>
          <w:rFonts w:ascii="Times New Roman" w:hAnsi="Times New Roman"/>
          <w:color w:val="000000"/>
          <w:sz w:val="20"/>
        </w:rPr>
      </w:pPr>
      <w:r>
        <w:rPr>
          <w:rFonts w:ascii="Times New Roman" w:hAnsi="Times New Roman"/>
          <w:color w:val="000000"/>
          <w:sz w:val="20"/>
        </w:rPr>
        <w:t xml:space="preserve">Section 4.             </w:t>
      </w:r>
      <w:r>
        <w:rPr>
          <w:rFonts w:ascii="Times New Roman" w:hAnsi="Times New Roman"/>
          <w:color w:val="000000"/>
          <w:sz w:val="20"/>
          <w:u w:val="single"/>
        </w:rPr>
        <w:t>Quorum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16" w:firstLine="1440"/>
        <w:jc w:val="both"/>
        <w:rPr>
          <w:rFonts w:ascii="Times New Roman" w:hAnsi="Times New Roman"/>
          <w:color w:val="000000"/>
          <w:sz w:val="20"/>
        </w:rPr>
      </w:pPr>
      <w:r>
        <w:rPr>
          <w:rFonts w:ascii="Times New Roman" w:hAnsi="Times New Roman"/>
          <w:color w:val="000000"/>
          <w:sz w:val="20"/>
        </w:rPr>
        <w:t>At any meeting of the stockholders, the holders of a majority of all of the shares of the stock entitled to vote at the meeting, present in person or by proxy, shall constitute a quorum for all purposes, unless or except to the extent that the presence of a larger number may be required by law. Where a separate vote by a class or classes or series is required, a majority of the shares of such class or classes or series present in person or represented by proxy shall constitute a quorum entitled to take action with respect to that vote on that matter. A quorum once established, shall not be broken by the subsequent withdrawal of enough votes to leave less than a quorum.</w:t>
      </w:r>
    </w:p>
    <w:p>
      <w:pPr>
        <w:pStyle w:val="TextBody"/>
        <w:bidi w:val="0"/>
        <w:spacing w:before="0" w:after="0"/>
        <w:jc w:val="left"/>
        <w:rPr>
          <w:color w:val="000000"/>
        </w:rPr>
      </w:pPr>
      <w:r>
        <w:rPr>
          <w:color w:val="000000"/>
        </w:rPr>
        <w:t> </w:t>
      </w:r>
    </w:p>
    <w:p>
      <w:pPr>
        <w:pStyle w:val="TextBody"/>
        <w:bidi w:val="0"/>
        <w:spacing w:before="0" w:after="0"/>
        <w:ind w:left="119" w:right="116" w:firstLine="1440"/>
        <w:jc w:val="both"/>
        <w:rPr>
          <w:rFonts w:ascii="Times New Roman" w:hAnsi="Times New Roman"/>
          <w:color w:val="000000"/>
          <w:sz w:val="20"/>
        </w:rPr>
      </w:pPr>
      <w:r>
        <w:rPr>
          <w:rFonts w:ascii="Times New Roman" w:hAnsi="Times New Roman"/>
          <w:color w:val="000000"/>
          <w:sz w:val="20"/>
        </w:rPr>
        <w:t>If a quorum shall fail to attend any meeting, the chairman of the meeting or the holders of a majority of the shares of stock entitled to vote who are present, in person or by proxy, may adjourn the meeting to another place, if any, date, or time. At any such adjourned meeting at which there is a quorum, any business may be transacted that might have been transacted at the meeting originally called.</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 xml:space="preserve">Section 5.            </w:t>
      </w:r>
      <w:r>
        <w:rPr>
          <w:rFonts w:ascii="Times New Roman" w:hAnsi="Times New Roman"/>
          <w:color w:val="000000"/>
          <w:sz w:val="20"/>
          <w:u w:val="single"/>
        </w:rPr>
        <w:t>Organization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09" w:firstLine="1440"/>
        <w:jc w:val="both"/>
        <w:rPr>
          <w:rFonts w:ascii="Times New Roman" w:hAnsi="Times New Roman"/>
          <w:color w:val="000000"/>
          <w:sz w:val="20"/>
        </w:rPr>
      </w:pPr>
      <w:r>
        <w:rPr>
          <w:rFonts w:ascii="Times New Roman" w:hAnsi="Times New Roman"/>
          <w:color w:val="000000"/>
          <w:sz w:val="20"/>
        </w:rPr>
        <w:t>Such person as the Board of Directors may have designated or, in the absence of such a person, the President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pStyle w:val="TextBody"/>
        <w:bidi w:val="0"/>
        <w:spacing w:before="0" w:after="0"/>
        <w:jc w:val="left"/>
        <w:rPr>
          <w:color w:val="000000"/>
        </w:rPr>
      </w:pPr>
      <w:r>
        <w:rPr>
          <w:color w:val="000000"/>
        </w:rPr>
        <w:t> </w:t>
      </w:r>
    </w:p>
    <w:p>
      <w:pPr>
        <w:pStyle w:val="TextBody"/>
        <w:bidi w:val="0"/>
        <w:spacing w:before="0" w:after="0"/>
        <w:ind w:left="839" w:right="0" w:hanging="0"/>
        <w:jc w:val="left"/>
        <w:rPr>
          <w:rFonts w:ascii="Times New Roman" w:hAnsi="Times New Roman"/>
          <w:color w:val="000000"/>
          <w:sz w:val="20"/>
        </w:rPr>
      </w:pPr>
      <w:r>
        <w:rPr>
          <w:rFonts w:ascii="Times New Roman" w:hAnsi="Times New Roman"/>
          <w:color w:val="000000"/>
          <w:sz w:val="20"/>
        </w:rPr>
        <w:t>Section 6.          </w:t>
      </w:r>
      <w:r>
        <w:rPr>
          <w:rFonts w:ascii="Times New Roman" w:hAnsi="Times New Roman"/>
          <w:color w:val="000000"/>
          <w:sz w:val="20"/>
          <w:u w:val="single"/>
        </w:rPr>
        <w:t>Conduct of Business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2" w:firstLine="1440"/>
        <w:jc w:val="both"/>
        <w:rPr>
          <w:rFonts w:ascii="Times New Roman" w:hAnsi="Times New Roman"/>
          <w:color w:val="000000"/>
          <w:sz w:val="20"/>
        </w:rPr>
      </w:pPr>
      <w:r>
        <w:rPr>
          <w:rFonts w:ascii="Times New Roman" w:hAnsi="Times New Roman"/>
          <w:color w:val="000000"/>
          <w:sz w:val="20"/>
        </w:rPr>
        <w:t>The chairman of any meeting of stockholders shall determine the order of business and the procedure at the meeting, including such regulation of the manner of voting and the conduct of discussion as seem to him or her in order. The date and time of the opening and closing of the polls for each matter upon which the stockholders will vote at the meeting shall be announced at the meeting.</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7.          </w:t>
      </w:r>
      <w:r>
        <w:rPr>
          <w:rFonts w:ascii="Times New Roman" w:hAnsi="Times New Roman"/>
          <w:color w:val="000000"/>
          <w:sz w:val="20"/>
          <w:u w:val="single"/>
        </w:rPr>
        <w:t>Proxies and Voting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9" w:firstLine="1440"/>
        <w:jc w:val="both"/>
        <w:rPr>
          <w:rFonts w:ascii="Times New Roman" w:hAnsi="Times New Roman"/>
          <w:color w:val="000000"/>
          <w:sz w:val="20"/>
        </w:rPr>
      </w:pPr>
      <w:r>
        <w:rPr>
          <w:rFonts w:ascii="Times New Roman" w:hAnsi="Times New Roman"/>
          <w:color w:val="000000"/>
          <w:sz w:val="20"/>
        </w:rPr>
        <w:t>At any meeting of the stockholders, every stockholder entitled to vote may vote in person or by proxy authorized by an instrument in writing or by a transmission permitted by law filed in accordance with the procedure established for the meeting. Any copy, facsimile, email or other reliable reproduction of the writing or transmission created pursuant to this paragraph may be substituted or used in lieu of the original writing or transmission for any and all purposes for which the original writing or transmission could be used, provided that such copy, facsimile, email or other reproduction shall be a complete reproduction of the entire original writing or transmission.</w:t>
      </w:r>
    </w:p>
    <w:p>
      <w:pPr>
        <w:pStyle w:val="TextBody"/>
        <w:bidi w:val="0"/>
        <w:spacing w:before="0" w:after="0"/>
        <w:jc w:val="left"/>
        <w:rPr>
          <w:color w:val="000000"/>
        </w:rPr>
      </w:pPr>
      <w:r>
        <w:rPr>
          <w:color w:val="000000"/>
        </w:rPr>
        <w:t xml:space="preserve">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119" w:right="119" w:firstLine="1440"/>
        <w:jc w:val="both"/>
        <w:rPr>
          <w:rFonts w:ascii="Times New Roman" w:hAnsi="Times New Roman"/>
          <w:color w:val="000000"/>
          <w:sz w:val="20"/>
        </w:rPr>
      </w:pPr>
      <w:r>
        <w:rPr>
          <w:rFonts w:ascii="Times New Roman" w:hAnsi="Times New Roman"/>
          <w:color w:val="000000"/>
          <w:sz w:val="20"/>
        </w:rPr>
        <w:t>The Corporation may, and to the extent required by law, shall, in advance of any meeting of stockholders, appoint one or more inspectors to act at the meeting and make a written report thereof. The Corporation may designate one or more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faithfully to execute the duties of inspector with strict impartiality and according to the best of his or her ability. Every vote taken by ballots shall be counted by an inspector or inspectors appointed by the chairman of the meeting.</w:t>
      </w:r>
    </w:p>
    <w:p>
      <w:pPr>
        <w:pStyle w:val="TextBody"/>
        <w:bidi w:val="0"/>
        <w:spacing w:before="0" w:after="0"/>
        <w:jc w:val="left"/>
        <w:rPr>
          <w:color w:val="000000"/>
        </w:rPr>
      </w:pPr>
      <w:r>
        <w:rPr>
          <w:color w:val="000000"/>
        </w:rPr>
        <w:t> </w:t>
      </w:r>
    </w:p>
    <w:p>
      <w:pPr>
        <w:pStyle w:val="TextBody"/>
        <w:bidi w:val="0"/>
        <w:spacing w:before="0" w:after="0"/>
        <w:ind w:left="119" w:right="115" w:firstLine="1440"/>
        <w:jc w:val="both"/>
        <w:rPr>
          <w:rFonts w:ascii="Times New Roman" w:hAnsi="Times New Roman"/>
          <w:color w:val="000000"/>
          <w:sz w:val="20"/>
        </w:rPr>
      </w:pPr>
      <w:r>
        <w:rPr>
          <w:rFonts w:ascii="Times New Roman" w:hAnsi="Times New Roman"/>
          <w:color w:val="000000"/>
          <w:sz w:val="20"/>
        </w:rPr>
        <w:t>All elections shall be determined by a plurality of the votes cast, and except as otherwise required by law, all other matters shall be determined by a majority of the votes cast affirmatively or negatively.</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8.          </w:t>
      </w:r>
      <w:r>
        <w:rPr>
          <w:rFonts w:ascii="Times New Roman" w:hAnsi="Times New Roman"/>
          <w:color w:val="000000"/>
          <w:sz w:val="20"/>
          <w:u w:val="single"/>
        </w:rPr>
        <w:t>Stockholders List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8" w:firstLine="1440"/>
        <w:jc w:val="both"/>
        <w:rPr>
          <w:rFonts w:ascii="Times New Roman" w:hAnsi="Times New Roman"/>
          <w:color w:val="000000"/>
          <w:sz w:val="20"/>
        </w:rPr>
      </w:pPr>
      <w:r>
        <w:rPr>
          <w:rFonts w:ascii="Times New Roman" w:hAnsi="Times New Roman"/>
          <w:color w:val="000000"/>
          <w:sz w:val="20"/>
        </w:rPr>
        <w:t>The officer who has charge of the stock ledger of the Corporation shall, at least 10 days before every meeting of stockholders, prepare and make a complete list of stockholders entitled to vote at any meeting of stockholders, provided, however, if the record date for determining the stockholders entitled to vote is less than 10 days before the meeting date, the list shall reflect the stockholders entitled to vote as of the 10th day before the meeting date, arranged in alphabetical order and showing the address of each such stockholder and the number of shares registered in his or her name. Such list shall be open to the examination of any stockholder for a period of at least 10 days prior to the meeting in the manner provided by law.</w:t>
      </w:r>
    </w:p>
    <w:p>
      <w:pPr>
        <w:pStyle w:val="TextBody"/>
        <w:bidi w:val="0"/>
        <w:spacing w:before="0" w:after="0"/>
        <w:jc w:val="left"/>
        <w:rPr>
          <w:color w:val="000000"/>
        </w:rPr>
      </w:pPr>
      <w:r>
        <w:rPr>
          <w:color w:val="000000"/>
        </w:rPr>
        <w:t> </w:t>
      </w:r>
    </w:p>
    <w:p>
      <w:pPr>
        <w:pStyle w:val="TextBody"/>
        <w:bidi w:val="0"/>
        <w:spacing w:before="0" w:after="0"/>
        <w:ind w:left="119" w:right="109" w:firstLine="1440"/>
        <w:jc w:val="both"/>
        <w:rPr>
          <w:rFonts w:ascii="Times New Roman" w:hAnsi="Times New Roman"/>
          <w:color w:val="000000"/>
          <w:sz w:val="20"/>
        </w:rPr>
      </w:pPr>
      <w:r>
        <w:rPr>
          <w:rFonts w:ascii="Times New Roman" w:hAnsi="Times New Roman"/>
          <w:color w:val="000000"/>
          <w:sz w:val="20"/>
        </w:rPr>
        <w:t>A stockholders list shall also be open to the examination of any stockholder during the whole time of the meeting as provided by law. This list shall presumptively determine (a) the identity of the stockholders entitled to examine such stockholders list and to vote at the meeting and (b) the number of shares held by each of them.</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9.          </w:t>
      </w:r>
      <w:r>
        <w:rPr>
          <w:rFonts w:ascii="Times New Roman" w:hAnsi="Times New Roman"/>
          <w:color w:val="000000"/>
          <w:sz w:val="20"/>
          <w:u w:val="single"/>
        </w:rPr>
        <w:t>Consent of Stockholders in Lieu of Meeting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12" w:firstLine="1440"/>
        <w:jc w:val="both"/>
        <w:rPr>
          <w:rFonts w:ascii="Times New Roman" w:hAnsi="Times New Roman"/>
          <w:color w:val="000000"/>
          <w:sz w:val="20"/>
        </w:rPr>
      </w:pPr>
      <w:r>
        <w:rPr>
          <w:rFonts w:ascii="Times New Roman" w:hAnsi="Times New Roman"/>
          <w:color w:val="000000"/>
          <w:sz w:val="20"/>
        </w:rPr>
        <w:t>Any action required to be taken at any annual or special meeting of stockholders of the Corporation, or any action which may be taken at any annual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made by hand or by certified or registered mail, return receipt requested.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120" w:right="117" w:firstLine="1440"/>
        <w:jc w:val="both"/>
        <w:rPr>
          <w:rFonts w:ascii="Times New Roman" w:hAnsi="Times New Roman"/>
          <w:color w:val="000000"/>
          <w:sz w:val="20"/>
        </w:rPr>
      </w:pPr>
      <w:r>
        <w:rPr>
          <w:rFonts w:ascii="Times New Roman" w:hAnsi="Times New Roman"/>
          <w:color w:val="000000"/>
          <w:sz w:val="20"/>
        </w:rPr>
        <w:t>Every written consent shall bear the date of signature of each stockholder who signs the consent and no written consent shall be effective to take the corporate action referred to therein unless, within 60 days of the earliest dated consent delivered to the Corporation, a written consent or consents signed by a sufficient number of holders to take action are delivered to the Corporation in the manner prescribed in the first paragraph of this Section. A telegram, cablegram or other electronic transmission consenting to an action to be taken and transmitted by a stockholder or proxyholder, or by a person or persons authorized to act for a stockholder or proxyholder, shall be deemed to be written, signed and dated for the purposes of this Section to the extent permitted by law. Any such consent shall be delivered in accordance with Section 228(d)(1) of the Delaware General Corporation Law.</w:t>
      </w:r>
    </w:p>
    <w:p>
      <w:pPr>
        <w:pStyle w:val="TextBody"/>
        <w:bidi w:val="0"/>
        <w:spacing w:before="0" w:after="0"/>
        <w:jc w:val="left"/>
        <w:rPr>
          <w:color w:val="000000"/>
        </w:rPr>
      </w:pPr>
      <w:r>
        <w:rPr>
          <w:color w:val="000000"/>
        </w:rPr>
        <w:t> </w:t>
      </w:r>
    </w:p>
    <w:p>
      <w:pPr>
        <w:pStyle w:val="TextBody"/>
        <w:bidi w:val="0"/>
        <w:spacing w:before="0" w:after="0"/>
        <w:ind w:left="120" w:right="109" w:firstLine="1440"/>
        <w:jc w:val="both"/>
        <w:rPr>
          <w:rFonts w:ascii="Times New Roman" w:hAnsi="Times New Roman"/>
          <w:color w:val="000000"/>
          <w:sz w:val="20"/>
        </w:rPr>
      </w:pPr>
      <w:r>
        <w:rPr>
          <w:rFonts w:ascii="Times New Roman" w:hAnsi="Times New Roman"/>
          <w:color w:val="000000"/>
          <w:sz w:val="20"/>
        </w:rPr>
        <w:t>Any copy, facsimile, email or other reliable reproduction of a consent in writing may be substituted or used in lieu of the original writing for any and all purposes for which the original writing could be used, provided that such copy, facsimile, email or other reproduction shall be a complete reproduction of the entire original writing.</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xml:space="preserve">ARTICLE II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BOARD OF DIRECTORS</w:t>
      </w:r>
    </w:p>
    <w:p>
      <w:pPr>
        <w:pStyle w:val="TextBody"/>
        <w:bidi w:val="0"/>
        <w:spacing w:before="0" w:after="0"/>
        <w:jc w:val="left"/>
        <w:rPr>
          <w:color w:val="000000"/>
        </w:rPr>
      </w:pPr>
      <w:r>
        <w:rPr>
          <w:color w:val="000000"/>
        </w:rPr>
        <w:t> </w:t>
      </w:r>
    </w:p>
    <w:p>
      <w:pPr>
        <w:pStyle w:val="TextBody"/>
        <w:bidi w:val="0"/>
        <w:spacing w:before="0" w:after="0"/>
        <w:ind w:left="839" w:right="0" w:hanging="0"/>
        <w:jc w:val="left"/>
        <w:rPr>
          <w:rFonts w:ascii="Times New Roman" w:hAnsi="Times New Roman"/>
          <w:color w:val="000000"/>
          <w:sz w:val="20"/>
        </w:rPr>
      </w:pPr>
      <w:r>
        <w:rPr>
          <w:rFonts w:ascii="Times New Roman" w:hAnsi="Times New Roman"/>
          <w:color w:val="000000"/>
          <w:sz w:val="20"/>
        </w:rPr>
        <w:t>Section 1.          </w:t>
      </w:r>
      <w:r>
        <w:rPr>
          <w:rFonts w:ascii="Times New Roman" w:hAnsi="Times New Roman"/>
          <w:color w:val="000000"/>
          <w:sz w:val="20"/>
          <w:u w:val="single"/>
        </w:rPr>
        <w:t>General Powers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3" w:firstLine="1440"/>
        <w:jc w:val="both"/>
        <w:rPr>
          <w:rFonts w:ascii="Times New Roman" w:hAnsi="Times New Roman"/>
          <w:color w:val="000000"/>
          <w:sz w:val="20"/>
        </w:rPr>
      </w:pPr>
      <w:r>
        <w:rPr>
          <w:rFonts w:ascii="Times New Roman" w:hAnsi="Times New Roman"/>
          <w:color w:val="000000"/>
          <w:sz w:val="20"/>
        </w:rPr>
        <w:t>The business and affairs of the Corporation shall be managed by or under the direction of the Board of Directors. The Board of Directors may adopt such rules and procedures, not inconsistent with the Certificate of Incorporation, these Bylaws, or applicable law, as it may deem proper for the conduct of its meetings and the management of the Corporation.</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2.          </w:t>
      </w:r>
      <w:r>
        <w:rPr>
          <w:rFonts w:ascii="Times New Roman" w:hAnsi="Times New Roman"/>
          <w:color w:val="000000"/>
          <w:sz w:val="20"/>
          <w:u w:val="single"/>
        </w:rPr>
        <w:t>Number and Term of Office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0" w:firstLine="1440"/>
        <w:jc w:val="both"/>
        <w:rPr>
          <w:rFonts w:ascii="Times New Roman" w:hAnsi="Times New Roman"/>
          <w:color w:val="000000"/>
          <w:sz w:val="20"/>
        </w:rPr>
      </w:pPr>
      <w:r>
        <w:rPr>
          <w:rFonts w:ascii="Times New Roman" w:hAnsi="Times New Roman"/>
          <w:color w:val="000000"/>
          <w:sz w:val="20"/>
        </w:rPr>
        <w:t>The number of directors who shall constitute the whole Board of Directors shall be such number as the Board of Directors shall from time to time have designated, provided that the size of the initial Board of Directors shall be equal to the number of directors elected by the Incorporator of the Corporation. Each director shall be elected for a term of one year and until his or her successor is elected and qualified, except as otherwise provided herein or required by law.</w:t>
      </w:r>
    </w:p>
    <w:p>
      <w:pPr>
        <w:pStyle w:val="TextBody"/>
        <w:bidi w:val="0"/>
        <w:spacing w:before="0" w:after="0"/>
        <w:jc w:val="left"/>
        <w:rPr>
          <w:color w:val="000000"/>
        </w:rPr>
      </w:pPr>
      <w:r>
        <w:rPr>
          <w:color w:val="000000"/>
        </w:rPr>
        <w:t> </w:t>
      </w:r>
    </w:p>
    <w:p>
      <w:pPr>
        <w:pStyle w:val="TextBody"/>
        <w:bidi w:val="0"/>
        <w:spacing w:before="0" w:after="0"/>
        <w:ind w:left="120" w:right="120" w:firstLine="1440"/>
        <w:jc w:val="both"/>
        <w:rPr>
          <w:rFonts w:ascii="Times New Roman" w:hAnsi="Times New Roman"/>
          <w:color w:val="000000"/>
          <w:sz w:val="20"/>
        </w:rPr>
      </w:pPr>
      <w:r>
        <w:rPr>
          <w:rFonts w:ascii="Times New Roman" w:hAnsi="Times New Roman"/>
          <w:color w:val="000000"/>
          <w:sz w:val="20"/>
        </w:rPr>
        <w:t>Whenever the authorized number of directors is increased between annual meetings of the stockholders, a majority of the directors then in office shall have the power to elect such new directors for the balance of a term and until their successors are elected and qualified. Any decrease in the authorized number of directors shall not become effective until the expiration of the term of the directors then in office unless, at the time of such decrease, there shall be vacancies on the board which are being eliminated by the decrease.</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3.          </w:t>
      </w:r>
      <w:r>
        <w:rPr>
          <w:rFonts w:ascii="Times New Roman" w:hAnsi="Times New Roman"/>
          <w:color w:val="000000"/>
          <w:sz w:val="20"/>
          <w:u w:val="single"/>
        </w:rPr>
        <w:t>Vacancies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1" w:firstLine="1440"/>
        <w:jc w:val="both"/>
        <w:rPr>
          <w:rFonts w:ascii="Times New Roman" w:hAnsi="Times New Roman"/>
          <w:color w:val="000000"/>
          <w:sz w:val="20"/>
        </w:rPr>
      </w:pPr>
      <w:r>
        <w:rPr>
          <w:rFonts w:ascii="Times New Roman" w:hAnsi="Times New Roman"/>
          <w:color w:val="000000"/>
          <w:sz w:val="20"/>
        </w:rPr>
        <w:t>If the office of any director becomes vacant by reason of death, resignation, disqualification, removal or other cause, a majority of the directors remaining in office, although less than a quorum, may elect a successor for the unexpired term and until his or her successor is elected and qualified.</w:t>
      </w:r>
    </w:p>
    <w:p>
      <w:pPr>
        <w:pStyle w:val="TextBody"/>
        <w:bidi w:val="0"/>
        <w:spacing w:before="0" w:after="0"/>
        <w:ind w:left="120" w:right="121" w:firstLine="144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4.          </w:t>
      </w:r>
      <w:r>
        <w:rPr>
          <w:rFonts w:ascii="Times New Roman" w:hAnsi="Times New Roman"/>
          <w:color w:val="000000"/>
          <w:sz w:val="20"/>
          <w:u w:val="single"/>
        </w:rPr>
        <w:t>Regular Meetings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09" w:firstLine="1440"/>
        <w:jc w:val="both"/>
        <w:rPr>
          <w:rFonts w:ascii="Times New Roman" w:hAnsi="Times New Roman"/>
          <w:color w:val="000000"/>
          <w:sz w:val="20"/>
        </w:rPr>
      </w:pPr>
      <w:r>
        <w:rPr>
          <w:rFonts w:ascii="Times New Roman" w:hAnsi="Times New Roman"/>
          <w:color w:val="000000"/>
          <w:sz w:val="20"/>
        </w:rPr>
        <w:t>Regular meetings of the Board of Directors shall be held at such place or places, on such date or dates, and at such time or times as shall have been established by the Board of Directors and publicized among all directors. A notice of each regular meeting shall not be required.</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5.          </w:t>
      </w:r>
      <w:r>
        <w:rPr>
          <w:rFonts w:ascii="Times New Roman" w:hAnsi="Times New Roman"/>
          <w:color w:val="000000"/>
          <w:sz w:val="20"/>
          <w:u w:val="single"/>
        </w:rPr>
        <w:t>Special Meetings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18" w:firstLine="1440"/>
        <w:jc w:val="both"/>
        <w:rPr>
          <w:rFonts w:ascii="Times New Roman" w:hAnsi="Times New Roman"/>
          <w:color w:val="000000"/>
          <w:sz w:val="20"/>
        </w:rPr>
      </w:pPr>
      <w:r>
        <w:rPr>
          <w:rFonts w:ascii="Times New Roman" w:hAnsi="Times New Roman"/>
          <w:color w:val="000000"/>
          <w:sz w:val="20"/>
        </w:rPr>
        <w:t>Special meetings of the Board of Directors may be called by one-third of the directors then in office (rounded up to the nearest whole number) or by the President and shall be held at such place, on such date, and at such time as they or he or she shall fix. Notice of the place, date, and time of each such special meeting shall be given to each director by whom it is not waived by mailing written notice not less than five days before the meeting or by facsimile, email or other electronic transmission of the same not less than 24 hours before the meeting. Unless otherwise indicated in the notice thereof, any and all business may be transacted at a special meeting.</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6.          </w:t>
      </w:r>
      <w:r>
        <w:rPr>
          <w:rFonts w:ascii="Times New Roman" w:hAnsi="Times New Roman"/>
          <w:color w:val="000000"/>
          <w:sz w:val="20"/>
          <w:u w:val="single"/>
        </w:rPr>
        <w:t>Quorum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2" w:firstLine="1440"/>
        <w:jc w:val="both"/>
        <w:rPr>
          <w:rFonts w:ascii="Times New Roman" w:hAnsi="Times New Roman"/>
          <w:color w:val="000000"/>
          <w:sz w:val="20"/>
        </w:rPr>
      </w:pPr>
      <w:r>
        <w:rPr>
          <w:rFonts w:ascii="Times New Roman" w:hAnsi="Times New Roman"/>
          <w:color w:val="000000"/>
          <w:sz w:val="20"/>
        </w:rPr>
        <w:t>At any meeting of the Board of Directors, a majority of the total number of the whole Board of Directors shall constitute a quorum for all purposes. If a quorum shall fail to attend any meeting, a majority of those present may adjourn the meeting to another place, date, or time, without further notice or waiver thereof.</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7.          </w:t>
      </w:r>
      <w:r>
        <w:rPr>
          <w:rFonts w:ascii="Times New Roman" w:hAnsi="Times New Roman"/>
          <w:color w:val="000000"/>
          <w:sz w:val="20"/>
          <w:u w:val="single"/>
        </w:rPr>
        <w:t>Participation in Meetings By Conference Telephone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0" w:firstLine="1440"/>
        <w:jc w:val="both"/>
        <w:rPr>
          <w:rFonts w:ascii="Times New Roman" w:hAnsi="Times New Roman"/>
          <w:color w:val="000000"/>
          <w:sz w:val="20"/>
        </w:rPr>
      </w:pPr>
      <w:r>
        <w:rPr>
          <w:rFonts w:ascii="Times New Roman" w:hAnsi="Times New Roman"/>
          <w:color w:val="000000"/>
          <w:sz w:val="20"/>
        </w:rPr>
        <w:t>Members of the Board of Directors, or of any committee thereof, may participate in a meeting of such Board of Directors or committee by means of conference telephone or other communications equipment by means of which all persons participating in the meeting can hear each other and such participation shall constitute presence in person at such meeting.</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8.          </w:t>
      </w:r>
      <w:r>
        <w:rPr>
          <w:rFonts w:ascii="Times New Roman" w:hAnsi="Times New Roman"/>
          <w:color w:val="000000"/>
          <w:sz w:val="20"/>
          <w:u w:val="single"/>
        </w:rPr>
        <w:t>Conduct of Business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18" w:firstLine="1440"/>
        <w:jc w:val="both"/>
        <w:rPr>
          <w:rFonts w:ascii="Times New Roman" w:hAnsi="Times New Roman"/>
          <w:color w:val="000000"/>
          <w:sz w:val="20"/>
        </w:rPr>
      </w:pPr>
      <w:r>
        <w:rPr>
          <w:rFonts w:ascii="Times New Roman" w:hAnsi="Times New Roman"/>
          <w:color w:val="000000"/>
          <w:sz w:val="20"/>
        </w:rPr>
        <w:t>At any meeting of the Board of Directors, business shall be transacted in such order and manner as the Board of Directors may from time to time determine, and all matters shall be determined by the vote of a majority of the directors present, except as otherwise provided herein or required by law. Action may be taken by the Board of Directors without a meeting if all members thereof consent thereto in writing or by electronic transmission, and the writing or writings or electronic transmission or transmissions are filed with the minutes of proceedings of the Board of Directors. Such filing shall be in paper form if the minutes are maintained in paper form and shall be in electronic form if the minutes are maintained in electronic form.</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9.          </w:t>
      </w:r>
      <w:r>
        <w:rPr>
          <w:rFonts w:ascii="Times New Roman" w:hAnsi="Times New Roman"/>
          <w:color w:val="000000"/>
          <w:sz w:val="20"/>
          <w:u w:val="single"/>
        </w:rPr>
        <w:t>Compensation of Directors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0" w:firstLine="1440"/>
        <w:jc w:val="both"/>
        <w:rPr>
          <w:rFonts w:ascii="Times New Roman" w:hAnsi="Times New Roman"/>
          <w:color w:val="000000"/>
          <w:sz w:val="20"/>
        </w:rPr>
      </w:pPr>
      <w:r>
        <w:rPr>
          <w:rFonts w:ascii="Times New Roman" w:hAnsi="Times New Roman"/>
          <w:color w:val="000000"/>
          <w:sz w:val="20"/>
        </w:rPr>
        <w:t>Directors, as such, may receive, pursuant to resolution of the Board of Directors, fixed fees and other compensation for their services as directors, including, without limitation, their services as members of committees of the Board of Directors.</w:t>
      </w:r>
    </w:p>
    <w:p>
      <w:pPr>
        <w:pStyle w:val="TextBody"/>
        <w:bidi w:val="0"/>
        <w:spacing w:before="0" w:after="0"/>
        <w:ind w:left="120" w:right="120" w:firstLine="144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 xml:space="preserve">Section 10.        </w:t>
      </w:r>
      <w:r>
        <w:rPr>
          <w:rFonts w:ascii="Times New Roman" w:hAnsi="Times New Roman"/>
          <w:color w:val="000000"/>
          <w:sz w:val="20"/>
          <w:u w:val="single"/>
        </w:rPr>
        <w:t>Action Without Meeting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0" w:firstLine="1440"/>
        <w:jc w:val="both"/>
        <w:rPr>
          <w:rFonts w:ascii="Times New Roman" w:hAnsi="Times New Roman"/>
          <w:color w:val="000000"/>
          <w:sz w:val="20"/>
        </w:rPr>
      </w:pPr>
      <w:r>
        <w:rPr>
          <w:rFonts w:ascii="Times New Roman" w:hAnsi="Times New Roman"/>
          <w:color w:val="000000"/>
          <w:sz w:val="20"/>
        </w:rPr>
        <w:t>Unless otherwise restricted by the Certificate of Incorporation or these Bylaws, any action required or permitted to be taken at any meeting of the Board of Directors or of any committee thereof may be taken without a meeting if all directors or members of such committee, as the case may be, consent thereto in writing or by electronic transmission, and the writings or electronic transmissions are filed with the minutes of proceedings of the Board of Directors or committee in accordance with applicable law.</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 xml:space="preserve">Section 11.        </w:t>
      </w:r>
      <w:r>
        <w:rPr>
          <w:rFonts w:ascii="Times New Roman" w:hAnsi="Times New Roman"/>
          <w:color w:val="000000"/>
          <w:sz w:val="20"/>
          <w:u w:val="single"/>
        </w:rPr>
        <w:t>Resignation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5" w:firstLine="1440"/>
        <w:jc w:val="both"/>
        <w:rPr>
          <w:rFonts w:ascii="Times New Roman" w:hAnsi="Times New Roman"/>
          <w:color w:val="000000"/>
          <w:sz w:val="20"/>
        </w:rPr>
      </w:pPr>
      <w:r>
        <w:rPr>
          <w:rFonts w:ascii="Times New Roman" w:hAnsi="Times New Roman"/>
          <w:color w:val="000000"/>
          <w:sz w:val="20"/>
        </w:rPr>
        <w:t>Any director may resign at any time by notice given in writing or by electronic transmission to the Corporation. Such resignation shall take effect at the date of receipt of such notice by the Corporation or at such later time as is therein specified.</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 xml:space="preserve">Section 12.        </w:t>
      </w:r>
      <w:r>
        <w:rPr>
          <w:rFonts w:ascii="Times New Roman" w:hAnsi="Times New Roman"/>
          <w:color w:val="000000"/>
          <w:sz w:val="20"/>
          <w:u w:val="single"/>
        </w:rPr>
        <w:t>Removal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0" w:firstLine="1440"/>
        <w:jc w:val="both"/>
        <w:rPr>
          <w:rFonts w:ascii="Times New Roman" w:hAnsi="Times New Roman"/>
          <w:color w:val="000000"/>
          <w:sz w:val="20"/>
        </w:rPr>
      </w:pPr>
      <w:r>
        <w:rPr>
          <w:rFonts w:ascii="Times New Roman" w:hAnsi="Times New Roman"/>
          <w:color w:val="000000"/>
          <w:sz w:val="20"/>
        </w:rPr>
        <w:t>Except as prohibited by applicable law or the Certificate of Incorporation, the stockholders entitled to vote in an election of directors may remove any director from office at any time, with or without cause, by the affirmative vote of a majority in voting power thereof.</w:t>
      </w:r>
    </w:p>
    <w:p>
      <w:pPr>
        <w:pStyle w:val="TextBody"/>
        <w:bidi w:val="0"/>
        <w:spacing w:before="0" w:after="0"/>
        <w:jc w:val="left"/>
        <w:rPr>
          <w:color w:val="000000"/>
        </w:rPr>
      </w:pPr>
      <w:r>
        <w:rPr>
          <w:color w:val="000000"/>
        </w:rPr>
        <w:t> </w:t>
      </w:r>
    </w:p>
    <w:p>
      <w:pPr>
        <w:pStyle w:val="TextBody"/>
        <w:bidi w:val="0"/>
        <w:spacing w:before="0" w:after="0"/>
        <w:ind w:left="4023" w:right="4035" w:hanging="3"/>
        <w:jc w:val="center"/>
        <w:rPr>
          <w:rFonts w:ascii="Times New Roman" w:hAnsi="Times New Roman"/>
          <w:color w:val="000000"/>
          <w:sz w:val="20"/>
        </w:rPr>
      </w:pPr>
      <w:r>
        <w:rPr>
          <w:rFonts w:ascii="Times New Roman" w:hAnsi="Times New Roman"/>
          <w:color w:val="000000"/>
          <w:sz w:val="20"/>
        </w:rPr>
        <w:t xml:space="preserve">ARTICLE III </w:t>
      </w:r>
    </w:p>
    <w:p>
      <w:pPr>
        <w:pStyle w:val="TextBody"/>
        <w:bidi w:val="0"/>
        <w:spacing w:before="0" w:after="0"/>
        <w:ind w:left="4023" w:right="4035" w:hanging="3"/>
        <w:jc w:val="center"/>
        <w:rPr>
          <w:rFonts w:ascii="Times New Roman" w:hAnsi="Times New Roman"/>
          <w:color w:val="000000"/>
          <w:sz w:val="20"/>
        </w:rPr>
      </w:pPr>
      <w:r>
        <w:rPr>
          <w:rFonts w:ascii="Times New Roman" w:hAnsi="Times New Roman"/>
          <w:color w:val="000000"/>
          <w:sz w:val="20"/>
        </w:rPr>
        <w:t>COMMITTEES</w:t>
      </w:r>
    </w:p>
    <w:p>
      <w:pPr>
        <w:pStyle w:val="TextBody"/>
        <w:bidi w:val="0"/>
        <w:spacing w:before="0" w:after="0"/>
        <w:jc w:val="left"/>
        <w:rPr>
          <w:color w:val="000000"/>
        </w:rPr>
      </w:pPr>
      <w:r>
        <w:rPr>
          <w:color w:val="000000"/>
        </w:rPr>
        <w:t> </w:t>
      </w:r>
    </w:p>
    <w:p>
      <w:pPr>
        <w:pStyle w:val="TextBody"/>
        <w:bidi w:val="0"/>
        <w:spacing w:before="0" w:after="0"/>
        <w:ind w:left="839" w:right="0" w:hanging="0"/>
        <w:jc w:val="left"/>
        <w:rPr>
          <w:rFonts w:ascii="Times New Roman" w:hAnsi="Times New Roman"/>
          <w:color w:val="000000"/>
          <w:sz w:val="20"/>
        </w:rPr>
      </w:pPr>
      <w:r>
        <w:rPr>
          <w:rFonts w:ascii="Times New Roman" w:hAnsi="Times New Roman"/>
          <w:color w:val="000000"/>
          <w:sz w:val="20"/>
        </w:rPr>
        <w:t>Section 1.          </w:t>
      </w:r>
      <w:r>
        <w:rPr>
          <w:rFonts w:ascii="Times New Roman" w:hAnsi="Times New Roman"/>
          <w:color w:val="000000"/>
          <w:sz w:val="20"/>
          <w:u w:val="single"/>
        </w:rPr>
        <w:t>Committees of the Board of Directors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0" w:firstLine="1440"/>
        <w:jc w:val="both"/>
        <w:rPr>
          <w:rFonts w:ascii="Times New Roman" w:hAnsi="Times New Roman"/>
          <w:color w:val="000000"/>
          <w:sz w:val="20"/>
        </w:rPr>
      </w:pPr>
      <w:r>
        <w:rPr>
          <w:rFonts w:ascii="Times New Roman" w:hAnsi="Times New Roman"/>
          <w:color w:val="000000"/>
          <w:sz w:val="20"/>
        </w:rPr>
        <w:t>The Board of Directors may from time to time designate committees of the Board of Directors, with such lawfully delegable powers and duties as it thereby confers, to serve at the pleasure of the Board of Directors and shall, for 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2.          </w:t>
      </w:r>
      <w:r>
        <w:rPr>
          <w:rFonts w:ascii="Times New Roman" w:hAnsi="Times New Roman"/>
          <w:color w:val="000000"/>
          <w:sz w:val="20"/>
          <w:u w:val="single"/>
        </w:rPr>
        <w:t>Conduct of Business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0" w:firstLine="1440"/>
        <w:jc w:val="both"/>
        <w:rPr>
          <w:rFonts w:ascii="Times New Roman" w:hAnsi="Times New Roman"/>
          <w:color w:val="000000"/>
          <w:sz w:val="20"/>
        </w:rPr>
      </w:pPr>
      <w:r>
        <w:rPr>
          <w:rFonts w:ascii="Times New Roman" w:hAnsi="Times New Roman"/>
          <w:color w:val="000000"/>
          <w:sz w:val="20"/>
        </w:rPr>
        <w:t>Each committee may determine the procedural rules for meeting and conducting its business and shall act in accordance therewith, except as otherwise provided herein or required by law. Adequate provision shall be made for notice to members of all meetings; one-third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or by electronic transmission, and the writing or writings or electronic transmission or transmissions are filed with the minutes of the proceedings of such committee. Such filing shall be in paper form if the minutes are maintained in paper form and shall be in electronic form if the minutes are maintained in electronic form.</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4133" w:right="4134" w:hanging="0"/>
        <w:jc w:val="center"/>
        <w:rPr>
          <w:rFonts w:ascii="Times New Roman" w:hAnsi="Times New Roman"/>
          <w:color w:val="000000"/>
          <w:sz w:val="20"/>
        </w:rPr>
      </w:pPr>
      <w:r>
        <w:rPr>
          <w:rFonts w:ascii="Times New Roman" w:hAnsi="Times New Roman"/>
          <w:color w:val="000000"/>
          <w:sz w:val="20"/>
        </w:rPr>
        <w:t xml:space="preserve">ARTICLE IV </w:t>
      </w:r>
    </w:p>
    <w:p>
      <w:pPr>
        <w:pStyle w:val="TextBody"/>
        <w:bidi w:val="0"/>
        <w:spacing w:before="0" w:after="0"/>
        <w:ind w:left="4133" w:right="4134" w:hanging="0"/>
        <w:jc w:val="center"/>
        <w:rPr>
          <w:rFonts w:ascii="Times New Roman" w:hAnsi="Times New Roman"/>
          <w:color w:val="000000"/>
          <w:sz w:val="20"/>
        </w:rPr>
      </w:pPr>
      <w:r>
        <w:rPr>
          <w:rFonts w:ascii="Times New Roman" w:hAnsi="Times New Roman"/>
          <w:color w:val="000000"/>
          <w:sz w:val="20"/>
        </w:rPr>
        <w:t>OFFICERS</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1.          </w:t>
      </w:r>
      <w:r>
        <w:rPr>
          <w:rFonts w:ascii="Times New Roman" w:hAnsi="Times New Roman"/>
          <w:color w:val="000000"/>
          <w:sz w:val="20"/>
          <w:u w:val="single"/>
        </w:rPr>
        <w:t>Generally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1" w:firstLine="1440"/>
        <w:jc w:val="both"/>
        <w:rPr>
          <w:rFonts w:ascii="Times New Roman" w:hAnsi="Times New Roman"/>
          <w:color w:val="000000"/>
          <w:sz w:val="20"/>
        </w:rPr>
      </w:pPr>
      <w:r>
        <w:rPr>
          <w:rFonts w:ascii="Times New Roman" w:hAnsi="Times New Roman"/>
          <w:color w:val="000000"/>
          <w:sz w:val="20"/>
        </w:rPr>
        <w:t>The officers of the Corporation shall be elected annually by the Board of Directors and shall include a president, a treasurer, one or more vice presidents, and a secretary. The Board of Directors, in its discretion, may also elect one or more vice presidents, assistant treasurers, assistant secretaries, and other officers. Any two or more offices may be held by the same person. Each officer shall hold office until his or her successor is elected and qualified or until his or her earlier resignation or removal.</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2.          </w:t>
      </w:r>
      <w:r>
        <w:rPr>
          <w:rFonts w:ascii="Times New Roman" w:hAnsi="Times New Roman"/>
          <w:color w:val="000000"/>
          <w:sz w:val="20"/>
          <w:u w:val="single"/>
        </w:rPr>
        <w:t>President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12" w:firstLine="1440"/>
        <w:jc w:val="both"/>
        <w:rPr>
          <w:rFonts w:ascii="Times New Roman" w:hAnsi="Times New Roman"/>
          <w:color w:val="000000"/>
          <w:sz w:val="20"/>
        </w:rPr>
      </w:pPr>
      <w:r>
        <w:rPr>
          <w:rFonts w:ascii="Times New Roman" w:hAnsi="Times New Roman"/>
          <w:color w:val="000000"/>
          <w:sz w:val="20"/>
        </w:rPr>
        <w:t>The president shall have general supervision over the business of the Corporation and other duties incident to the office of president, and any other duties as may be from time to time assigned to the president by the Board of Directors and subject to the control of the Board of Directors in each case. He or she shall have power to sign all stock certificates, contracts and other instruments of the Corporation which are authorized and shall have general supervision and direction of all of the other officers, employees and agents of the Corporation.</w:t>
      </w:r>
    </w:p>
    <w:p>
      <w:pPr>
        <w:pStyle w:val="TextBody"/>
        <w:bidi w:val="0"/>
        <w:spacing w:before="0" w:after="0"/>
        <w:jc w:val="left"/>
        <w:rPr>
          <w:color w:val="000000"/>
        </w:rPr>
      </w:pPr>
      <w:r>
        <w:rPr>
          <w:color w:val="000000"/>
        </w:rPr>
        <w:t> </w:t>
      </w:r>
    </w:p>
    <w:p>
      <w:pPr>
        <w:pStyle w:val="TextBody"/>
        <w:bidi w:val="0"/>
        <w:spacing w:before="0" w:after="0"/>
        <w:ind w:left="839" w:right="0" w:hanging="0"/>
        <w:jc w:val="left"/>
        <w:rPr>
          <w:rFonts w:ascii="Times New Roman" w:hAnsi="Times New Roman"/>
          <w:color w:val="000000"/>
          <w:sz w:val="20"/>
        </w:rPr>
      </w:pPr>
      <w:r>
        <w:rPr>
          <w:rFonts w:ascii="Times New Roman" w:hAnsi="Times New Roman"/>
          <w:color w:val="000000"/>
          <w:sz w:val="20"/>
        </w:rPr>
        <w:t>Section 3.          </w:t>
      </w:r>
      <w:r>
        <w:rPr>
          <w:rFonts w:ascii="Times New Roman" w:hAnsi="Times New Roman"/>
          <w:color w:val="000000"/>
          <w:sz w:val="20"/>
          <w:u w:val="single"/>
        </w:rPr>
        <w:t>Vice President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4" w:firstLine="1440"/>
        <w:jc w:val="both"/>
        <w:rPr>
          <w:rFonts w:ascii="Times New Roman" w:hAnsi="Times New Roman"/>
          <w:color w:val="000000"/>
          <w:sz w:val="20"/>
        </w:rPr>
      </w:pPr>
      <w:r>
        <w:rPr>
          <w:rFonts w:ascii="Times New Roman" w:hAnsi="Times New Roman"/>
          <w:color w:val="000000"/>
          <w:sz w:val="20"/>
        </w:rPr>
        <w:t>Each vice president shall have such powers and duties as may be delegated to him or her by the Board of Directors or the president. One vice president shall be designated by the Board of Directors to perform the duties and exercise the powers of the President in the event of the President’s absence or disability.</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4.          </w:t>
      </w:r>
      <w:r>
        <w:rPr>
          <w:rFonts w:ascii="Times New Roman" w:hAnsi="Times New Roman"/>
          <w:color w:val="000000"/>
          <w:sz w:val="20"/>
          <w:u w:val="single"/>
        </w:rPr>
        <w:t>Treasurer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9" w:firstLine="1440"/>
        <w:jc w:val="both"/>
        <w:rPr>
          <w:rFonts w:ascii="Times New Roman" w:hAnsi="Times New Roman"/>
          <w:color w:val="000000"/>
          <w:sz w:val="20"/>
        </w:rPr>
      </w:pPr>
      <w:r>
        <w:rPr>
          <w:rFonts w:ascii="Times New Roman" w:hAnsi="Times New Roman"/>
          <w:color w:val="000000"/>
          <w:sz w:val="20"/>
        </w:rPr>
        <w:t>The Treasurer shall have the responsibility for maintaining the financial records of the Corporation. He or she shall make such disbursements of the funds of the Corporation as are authorized and shall render from time to time an account of all such transactions and of the financial condition of the Corporation. The Treasurer shall also perform such other duties as the Board of Directors may from time to time prescribe.</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5.          </w:t>
      </w:r>
      <w:r>
        <w:rPr>
          <w:rFonts w:ascii="Times New Roman" w:hAnsi="Times New Roman"/>
          <w:color w:val="000000"/>
          <w:sz w:val="20"/>
          <w:u w:val="single"/>
        </w:rPr>
        <w:t>Secretary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17" w:firstLine="1440"/>
        <w:jc w:val="both"/>
        <w:rPr>
          <w:rFonts w:ascii="Times New Roman" w:hAnsi="Times New Roman"/>
          <w:color w:val="000000"/>
          <w:sz w:val="20"/>
        </w:rPr>
      </w:pPr>
      <w:r>
        <w:rPr>
          <w:rFonts w:ascii="Times New Roman" w:hAnsi="Times New Roman"/>
          <w:color w:val="000000"/>
          <w:sz w:val="20"/>
        </w:rPr>
        <w:t>The Secretary shall issue all authorized notices for, and shall keep minutes of, all meetings of the stockholders and the Board of Directors. He or she shall have charge of the corporate books and shall perform such other duties as the Board of Directors may from time to time prescribe.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6.          </w:t>
      </w:r>
      <w:r>
        <w:rPr>
          <w:rFonts w:ascii="Times New Roman" w:hAnsi="Times New Roman"/>
          <w:color w:val="000000"/>
          <w:sz w:val="20"/>
          <w:u w:val="single"/>
        </w:rPr>
        <w:t>Delegation of Authority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3" w:firstLine="1440"/>
        <w:jc w:val="both"/>
        <w:rPr>
          <w:rFonts w:ascii="Times New Roman" w:hAnsi="Times New Roman"/>
          <w:color w:val="000000"/>
          <w:sz w:val="20"/>
        </w:rPr>
      </w:pPr>
      <w:r>
        <w:rPr>
          <w:rFonts w:ascii="Times New Roman" w:hAnsi="Times New Roman"/>
          <w:color w:val="000000"/>
          <w:sz w:val="20"/>
        </w:rPr>
        <w:t>In case any officer is absent, or for any other reason that the Board of Directors may deem sufficient, the president or the Board of Directors may delegate for the time being the powers or duties of such officer to any other officer or to any director.</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7.          </w:t>
      </w:r>
      <w:r>
        <w:rPr>
          <w:rFonts w:ascii="Times New Roman" w:hAnsi="Times New Roman"/>
          <w:color w:val="000000"/>
          <w:sz w:val="20"/>
          <w:u w:val="single"/>
        </w:rPr>
        <w:t>Removal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4" w:firstLine="1440"/>
        <w:jc w:val="both"/>
        <w:rPr>
          <w:rFonts w:ascii="Times New Roman" w:hAnsi="Times New Roman"/>
          <w:color w:val="000000"/>
          <w:sz w:val="20"/>
        </w:rPr>
      </w:pPr>
      <w:r>
        <w:rPr>
          <w:rFonts w:ascii="Times New Roman" w:hAnsi="Times New Roman"/>
          <w:color w:val="000000"/>
          <w:sz w:val="20"/>
        </w:rPr>
        <w:t>Any officer of the Corporation may be removed at any time, with or without cause, by the Board of Directors.</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8.          </w:t>
      </w:r>
      <w:r>
        <w:rPr>
          <w:rFonts w:ascii="Times New Roman" w:hAnsi="Times New Roman"/>
          <w:color w:val="000000"/>
          <w:sz w:val="20"/>
          <w:u w:val="single"/>
        </w:rPr>
        <w:t>Action with Respect to Securities of Other Entities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8" w:firstLine="1440"/>
        <w:jc w:val="both"/>
        <w:rPr>
          <w:rFonts w:ascii="Times New Roman" w:hAnsi="Times New Roman"/>
          <w:color w:val="000000"/>
          <w:sz w:val="20"/>
        </w:rPr>
      </w:pPr>
      <w:r>
        <w:rPr>
          <w:rFonts w:ascii="Times New Roman" w:hAnsi="Times New Roman"/>
          <w:color w:val="000000"/>
          <w:sz w:val="20"/>
        </w:rPr>
        <w:t>Unless otherwise directed by the Board of Directors, the President or any officer of the Corporation authorized by the President shall have power to vote and otherwise act on behalf of the Corporation, in person or by proxy, at any meeting of stockholders (or comparable holders of equity interests) of or with respect to any action of stockholders (or comparable holders of equity interests) of any other corporation or other entity in which this Corporation may hold securities and otherwise to exercise any and all rights and powers which this Corporation may possess by reason of its ownership of securities in such other corporation or other entity.</w:t>
      </w:r>
    </w:p>
    <w:p>
      <w:pPr>
        <w:pStyle w:val="TextBody"/>
        <w:bidi w:val="0"/>
        <w:spacing w:before="0" w:after="0"/>
        <w:jc w:val="left"/>
        <w:rPr>
          <w:color w:val="000000"/>
        </w:rPr>
      </w:pPr>
      <w:r>
        <w:rPr>
          <w:color w:val="000000"/>
        </w:rPr>
        <w:t> </w:t>
      </w:r>
    </w:p>
    <w:p>
      <w:pPr>
        <w:pStyle w:val="TextBody"/>
        <w:bidi w:val="0"/>
        <w:spacing w:before="0" w:after="0"/>
        <w:ind w:left="4168" w:right="4184" w:hanging="0"/>
        <w:jc w:val="center"/>
        <w:rPr>
          <w:rFonts w:ascii="Times New Roman" w:hAnsi="Times New Roman"/>
          <w:color w:val="000000"/>
          <w:sz w:val="20"/>
        </w:rPr>
      </w:pPr>
      <w:r>
        <w:rPr>
          <w:rFonts w:ascii="Times New Roman" w:hAnsi="Times New Roman"/>
          <w:color w:val="000000"/>
          <w:sz w:val="20"/>
        </w:rPr>
        <w:t xml:space="preserve">ARTICLE V </w:t>
      </w:r>
    </w:p>
    <w:p>
      <w:pPr>
        <w:pStyle w:val="TextBody"/>
        <w:bidi w:val="0"/>
        <w:spacing w:before="0" w:after="0"/>
        <w:ind w:left="4168" w:right="4184" w:hanging="0"/>
        <w:jc w:val="center"/>
        <w:rPr>
          <w:rFonts w:ascii="Times New Roman" w:hAnsi="Times New Roman"/>
          <w:color w:val="000000"/>
          <w:sz w:val="20"/>
        </w:rPr>
      </w:pPr>
      <w:r>
        <w:rPr>
          <w:rFonts w:ascii="Times New Roman" w:hAnsi="Times New Roman"/>
          <w:color w:val="000000"/>
          <w:sz w:val="20"/>
        </w:rPr>
        <w:t>STOCK</w:t>
      </w:r>
    </w:p>
    <w:p>
      <w:pPr>
        <w:pStyle w:val="TextBody"/>
        <w:bidi w:val="0"/>
        <w:spacing w:before="0" w:after="0"/>
        <w:jc w:val="left"/>
        <w:rPr>
          <w:sz w:val="20"/>
        </w:rPr>
      </w:pPr>
      <w:r>
        <w:rPr>
          <w:sz w:val="20"/>
        </w:rPr>
      </w:r>
    </w:p>
    <w:p>
      <w:pPr>
        <w:pStyle w:val="TextBody"/>
        <w:bidi w:val="0"/>
        <w:spacing w:before="0" w:after="0"/>
        <w:ind w:left="839" w:right="0" w:hanging="0"/>
        <w:jc w:val="left"/>
        <w:rPr>
          <w:rFonts w:ascii="Times New Roman" w:hAnsi="Times New Roman"/>
          <w:color w:val="000000"/>
          <w:sz w:val="20"/>
        </w:rPr>
      </w:pPr>
      <w:r>
        <w:rPr>
          <w:rFonts w:ascii="Times New Roman" w:hAnsi="Times New Roman"/>
          <w:color w:val="000000"/>
          <w:sz w:val="20"/>
        </w:rPr>
        <w:t>Section 1.          </w:t>
      </w:r>
      <w:r>
        <w:rPr>
          <w:rFonts w:ascii="Times New Roman" w:hAnsi="Times New Roman"/>
          <w:color w:val="000000"/>
          <w:sz w:val="20"/>
          <w:u w:val="single"/>
        </w:rPr>
        <w:t>Certificates of Stock</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22" w:firstLine="1440"/>
        <w:jc w:val="both"/>
        <w:rPr>
          <w:rFonts w:ascii="Times New Roman" w:hAnsi="Times New Roman"/>
          <w:color w:val="000000"/>
          <w:sz w:val="20"/>
        </w:rPr>
      </w:pPr>
      <w:r>
        <w:rPr>
          <w:rFonts w:ascii="Times New Roman" w:hAnsi="Times New Roman"/>
          <w:color w:val="000000"/>
          <w:sz w:val="20"/>
        </w:rPr>
        <w:t>Shares of stock of the Corporation may, but need not be, represented by certificates. Each holder of stock represented by certificates shall be entitled to a certificate signed by, or in the name of the Corporation by, any two authorized officers of the Corporation, including the President or a Vice President, and by the Secretary or an Assistant Secretary, or the Treasurer or an Assistant Treasurer, certifying the number of shares owned by him or her. Any or all of the signatures on the certificate may be by facsimile.</w:t>
      </w:r>
    </w:p>
    <w:p>
      <w:pPr>
        <w:pStyle w:val="TextBody"/>
        <w:bidi w:val="0"/>
        <w:spacing w:before="0" w:after="0"/>
        <w:jc w:val="left"/>
        <w:rPr>
          <w:color w:val="000000"/>
        </w:rPr>
      </w:pPr>
      <w:r>
        <w:rPr>
          <w:color w:val="000000"/>
        </w:rPr>
        <w:t> </w:t>
      </w:r>
    </w:p>
    <w:p>
      <w:pPr>
        <w:pStyle w:val="TextBody"/>
        <w:bidi w:val="0"/>
        <w:spacing w:before="0" w:after="0"/>
        <w:ind w:left="839" w:right="0" w:hanging="0"/>
        <w:jc w:val="left"/>
        <w:rPr>
          <w:rFonts w:ascii="Times New Roman" w:hAnsi="Times New Roman"/>
          <w:color w:val="000000"/>
          <w:sz w:val="20"/>
        </w:rPr>
      </w:pPr>
      <w:r>
        <w:rPr>
          <w:rFonts w:ascii="Times New Roman" w:hAnsi="Times New Roman"/>
          <w:color w:val="000000"/>
          <w:sz w:val="20"/>
        </w:rPr>
        <w:t>Section 2.          </w:t>
      </w:r>
      <w:r>
        <w:rPr>
          <w:rFonts w:ascii="Times New Roman" w:hAnsi="Times New Roman"/>
          <w:color w:val="000000"/>
          <w:sz w:val="20"/>
          <w:u w:val="single"/>
        </w:rPr>
        <w:t>Transfers of Stock</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2" w:firstLine="1440"/>
        <w:jc w:val="both"/>
        <w:rPr>
          <w:rFonts w:ascii="Times New Roman" w:hAnsi="Times New Roman"/>
          <w:color w:val="000000"/>
          <w:sz w:val="20"/>
        </w:rPr>
      </w:pPr>
      <w:r>
        <w:rPr>
          <w:rFonts w:ascii="Times New Roman" w:hAnsi="Times New Roman"/>
          <w:color w:val="000000"/>
          <w:sz w:val="20"/>
        </w:rPr>
        <w:t>Transfers of stock shall be made only upon the transfer books of the Corporation kept at an office of the Corporation or by transfer agents designated to transfer shares of the stock of the Corporation. Except where a certificate is issued in accordance with Section 4 of Article V of these Bylaws, an outstanding certificate, if one has been issued, for the number of shares involved shall be surrendered for cancellation before a new certificate, if any, is issued therefor.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3.          </w:t>
      </w:r>
      <w:r>
        <w:rPr>
          <w:rFonts w:ascii="Times New Roman" w:hAnsi="Times New Roman"/>
          <w:color w:val="000000"/>
          <w:sz w:val="20"/>
          <w:u w:val="single"/>
        </w:rPr>
        <w:t>Record Date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09" w:firstLine="1440"/>
        <w:jc w:val="both"/>
        <w:rPr>
          <w:rFonts w:ascii="Times New Roman" w:hAnsi="Times New Roman"/>
          <w:color w:val="000000"/>
          <w:sz w:val="20"/>
        </w:rPr>
      </w:pPr>
      <w:r>
        <w:rPr>
          <w:rFonts w:ascii="Times New Roman" w:hAnsi="Times New Roman"/>
          <w:color w:val="000000"/>
          <w:sz w:val="20"/>
        </w:rPr>
        <w:t>In order that the Corporation may determine the stockholders entitled to notice of any meeting of stockholders or any adjournment thereof, the Board of Directors may, except as otherwise required by law,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Section 3 at the adjourned meeting.</w:t>
      </w:r>
    </w:p>
    <w:p>
      <w:pPr>
        <w:pStyle w:val="TextBody"/>
        <w:bidi w:val="0"/>
        <w:spacing w:before="0" w:after="0"/>
        <w:jc w:val="left"/>
        <w:rPr>
          <w:color w:val="000000"/>
        </w:rPr>
      </w:pPr>
      <w:r>
        <w:rPr>
          <w:color w:val="000000"/>
        </w:rPr>
        <w:t> </w:t>
      </w:r>
    </w:p>
    <w:p>
      <w:pPr>
        <w:pStyle w:val="TextBody"/>
        <w:bidi w:val="0"/>
        <w:spacing w:before="0" w:after="0"/>
        <w:ind w:left="120" w:right="109" w:firstLine="1440"/>
        <w:jc w:val="both"/>
        <w:rPr>
          <w:rFonts w:ascii="Times New Roman" w:hAnsi="Times New Roman"/>
          <w:color w:val="000000"/>
          <w:sz w:val="20"/>
        </w:rPr>
      </w:pPr>
      <w:r>
        <w:rPr>
          <w:rFonts w:ascii="Times New Roman" w:hAnsi="Times New Roman"/>
          <w:color w:val="000000"/>
          <w:sz w:val="20"/>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pStyle w:val="TextBody"/>
        <w:bidi w:val="0"/>
        <w:spacing w:before="0" w:after="0"/>
        <w:jc w:val="left"/>
        <w:rPr>
          <w:color w:val="000000"/>
        </w:rPr>
      </w:pPr>
      <w:r>
        <w:rPr>
          <w:color w:val="000000"/>
        </w:rPr>
        <w:t> </w:t>
      </w:r>
    </w:p>
    <w:p>
      <w:pPr>
        <w:pStyle w:val="TextBody"/>
        <w:bidi w:val="0"/>
        <w:spacing w:before="0" w:after="0"/>
        <w:ind w:left="120" w:right="114" w:firstLine="1440"/>
        <w:jc w:val="both"/>
        <w:rPr>
          <w:rFonts w:ascii="Times New Roman" w:hAnsi="Times New Roman"/>
          <w:color w:val="000000"/>
          <w:sz w:val="20"/>
        </w:rPr>
      </w:pPr>
      <w:r>
        <w:rPr>
          <w:rFonts w:ascii="Times New Roman" w:hAnsi="Times New Roman"/>
          <w:color w:val="000000"/>
          <w:sz w:val="20"/>
        </w:rPr>
        <w:t>In order that the Corporation may determine the stockholders entitled to consent to corporate action without a meeting, (including electronic transmission as permitted by law), the Board of Directors may fix a record date, which shall not precede the date upon which the resolution fixing the record date is adopted by the Board of Directors, and which record date shall be not more than ten days after the date upon which the resolution fixing the record date is adopted. If no record date has been fixed by the Board of Directors and no prior action by the Board of Directors is required by the Delaware General Corporation Law, the record date shall be the first date on which a consent setting forth the action taken or proposed to be taken is delivered to the Corporation in the manner prescribed by Article I, Section 9 hereof. If no record date has been fixed by the Board of Directors and prior action by the Board of Directors is required by the Delaware General Corporation Law with respect to the proposed action by consent of the stockholders without a meeting, the record date for determining stockholders entitled to consent to corporate action without a meeting shall be at the close of business on the day on which the Board of Directors adopts the resolution taking such prior action.</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4.          </w:t>
      </w:r>
      <w:r>
        <w:rPr>
          <w:rFonts w:ascii="Times New Roman" w:hAnsi="Times New Roman"/>
          <w:color w:val="000000"/>
          <w:sz w:val="20"/>
          <w:u w:val="single"/>
        </w:rPr>
        <w:t>Lost, Stolen or Destroyed Certificates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09" w:firstLine="1440"/>
        <w:jc w:val="both"/>
        <w:rPr>
          <w:rFonts w:ascii="Times New Roman" w:hAnsi="Times New Roman"/>
          <w:color w:val="000000"/>
          <w:sz w:val="20"/>
        </w:rPr>
      </w:pPr>
      <w:r>
        <w:rPr>
          <w:rFonts w:ascii="Times New Roman" w:hAnsi="Times New Roman"/>
          <w:color w:val="000000"/>
          <w:sz w:val="20"/>
        </w:rPr>
        <w:t>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pStyle w:val="TextBody"/>
        <w:bidi w:val="0"/>
        <w:spacing w:before="0" w:after="0"/>
        <w:ind w:left="120" w:right="109" w:firstLine="144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5.          </w:t>
      </w:r>
      <w:r>
        <w:rPr>
          <w:rFonts w:ascii="Times New Roman" w:hAnsi="Times New Roman"/>
          <w:color w:val="000000"/>
          <w:sz w:val="20"/>
          <w:u w:val="single"/>
        </w:rPr>
        <w:t>Regulations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0" w:firstLine="1440"/>
        <w:jc w:val="left"/>
        <w:rPr>
          <w:rFonts w:ascii="Times New Roman" w:hAnsi="Times New Roman"/>
          <w:color w:val="000000"/>
          <w:sz w:val="20"/>
        </w:rPr>
      </w:pPr>
      <w:r>
        <w:rPr>
          <w:rFonts w:ascii="Times New Roman" w:hAnsi="Times New Roman"/>
          <w:color w:val="000000"/>
          <w:sz w:val="20"/>
        </w:rPr>
        <w:t>The issue, transfer, conversion and registration of certificates of stock shall be governed by such other regulations as the Board of Directors may establish.</w:t>
      </w:r>
    </w:p>
    <w:p>
      <w:pPr>
        <w:pStyle w:val="TextBody"/>
        <w:bidi w:val="0"/>
        <w:spacing w:before="0" w:after="0"/>
        <w:jc w:val="left"/>
        <w:rPr>
          <w:sz w:val="20"/>
        </w:rPr>
      </w:pPr>
      <w:r>
        <w:rPr>
          <w:sz w:val="20"/>
        </w:rPr>
      </w:r>
    </w:p>
    <w:p>
      <w:pPr>
        <w:pStyle w:val="TextBody"/>
        <w:bidi w:val="0"/>
        <w:spacing w:before="0" w:after="0"/>
        <w:ind w:left="4135" w:right="4134" w:hanging="0"/>
        <w:jc w:val="center"/>
        <w:rPr>
          <w:rFonts w:ascii="Times New Roman" w:hAnsi="Times New Roman"/>
          <w:color w:val="000000"/>
          <w:sz w:val="20"/>
        </w:rPr>
      </w:pPr>
      <w:r>
        <w:rPr>
          <w:rFonts w:ascii="Times New Roman" w:hAnsi="Times New Roman"/>
          <w:color w:val="000000"/>
          <w:sz w:val="20"/>
        </w:rPr>
        <w:t>ARTICLE VI</w:t>
      </w:r>
    </w:p>
    <w:p>
      <w:pPr>
        <w:pStyle w:val="TextBody"/>
        <w:bidi w:val="0"/>
        <w:spacing w:before="0" w:after="0"/>
        <w:ind w:left="4135" w:right="4134" w:hanging="0"/>
        <w:jc w:val="center"/>
        <w:rPr>
          <w:rFonts w:ascii="Times New Roman" w:hAnsi="Times New Roman"/>
          <w:color w:val="000000"/>
          <w:sz w:val="20"/>
        </w:rPr>
      </w:pPr>
      <w:r>
        <w:rPr>
          <w:rFonts w:ascii="Times New Roman" w:hAnsi="Times New Roman"/>
          <w:color w:val="000000"/>
          <w:sz w:val="20"/>
        </w:rPr>
        <w:t>NOTICES</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1.          </w:t>
      </w:r>
      <w:r>
        <w:rPr>
          <w:rFonts w:ascii="Times New Roman" w:hAnsi="Times New Roman"/>
          <w:color w:val="000000"/>
          <w:sz w:val="20"/>
          <w:u w:val="single"/>
        </w:rPr>
        <w:t>Notices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5" w:firstLine="1440"/>
        <w:jc w:val="both"/>
        <w:rPr>
          <w:rFonts w:ascii="Times New Roman" w:hAnsi="Times New Roman"/>
          <w:color w:val="000000"/>
          <w:sz w:val="20"/>
        </w:rPr>
      </w:pPr>
      <w:r>
        <w:rPr>
          <w:rFonts w:ascii="Times New Roman" w:hAnsi="Times New Roman"/>
          <w:color w:val="000000"/>
          <w:sz w:val="20"/>
        </w:rPr>
        <w:t>If mailed, notice to stockholders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Delaware General Corporation Law.</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2.          </w:t>
      </w:r>
      <w:r>
        <w:rPr>
          <w:rFonts w:ascii="Times New Roman" w:hAnsi="Times New Roman"/>
          <w:color w:val="000000"/>
          <w:sz w:val="20"/>
          <w:u w:val="single"/>
        </w:rPr>
        <w:t>Waivers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8" w:firstLine="1440"/>
        <w:jc w:val="both"/>
        <w:rPr>
          <w:rFonts w:ascii="Times New Roman" w:hAnsi="Times New Roman"/>
          <w:color w:val="000000"/>
          <w:sz w:val="20"/>
        </w:rPr>
      </w:pPr>
      <w:r>
        <w:rPr>
          <w:rFonts w:ascii="Times New Roman" w:hAnsi="Times New Roman"/>
          <w:color w:val="000000"/>
          <w:sz w:val="20"/>
        </w:rPr>
        <w:t>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w:t>
      </w:r>
    </w:p>
    <w:p>
      <w:pPr>
        <w:pStyle w:val="TextBody"/>
        <w:bidi w:val="0"/>
        <w:spacing w:before="0" w:after="0"/>
        <w:jc w:val="left"/>
        <w:rPr>
          <w:sz w:val="20"/>
        </w:rPr>
      </w:pPr>
      <w:r>
        <w:rPr>
          <w:sz w:val="20"/>
        </w:rPr>
      </w:r>
    </w:p>
    <w:p>
      <w:pPr>
        <w:pStyle w:val="TextBody"/>
        <w:bidi w:val="0"/>
        <w:spacing w:before="0" w:after="0"/>
        <w:ind w:left="3799" w:right="3806" w:hanging="9"/>
        <w:jc w:val="center"/>
        <w:rPr>
          <w:rFonts w:ascii="Times New Roman" w:hAnsi="Times New Roman"/>
          <w:color w:val="000000"/>
          <w:sz w:val="20"/>
        </w:rPr>
      </w:pPr>
      <w:r>
        <w:rPr>
          <w:rFonts w:ascii="Times New Roman" w:hAnsi="Times New Roman"/>
          <w:color w:val="000000"/>
          <w:sz w:val="20"/>
        </w:rPr>
        <w:t xml:space="preserve">ARTICLE VII </w:t>
      </w:r>
    </w:p>
    <w:p>
      <w:pPr>
        <w:pStyle w:val="TextBody"/>
        <w:bidi w:val="0"/>
        <w:spacing w:before="0" w:after="0"/>
        <w:ind w:left="3799" w:right="3806" w:hanging="9"/>
        <w:jc w:val="center"/>
        <w:rPr>
          <w:rFonts w:ascii="Times New Roman" w:hAnsi="Times New Roman"/>
          <w:color w:val="000000"/>
          <w:sz w:val="20"/>
        </w:rPr>
      </w:pPr>
      <w:r>
        <w:rPr>
          <w:rFonts w:ascii="Times New Roman" w:hAnsi="Times New Roman"/>
          <w:color w:val="000000"/>
          <w:sz w:val="20"/>
        </w:rPr>
        <w:t>MISCELLANEOUS</w:t>
      </w:r>
    </w:p>
    <w:p>
      <w:pPr>
        <w:pStyle w:val="TextBody"/>
        <w:bidi w:val="0"/>
        <w:spacing w:before="0" w:after="0"/>
        <w:jc w:val="left"/>
        <w:rPr>
          <w:color w:val="000000"/>
        </w:rPr>
      </w:pPr>
      <w:r>
        <w:rPr>
          <w:color w:val="000000"/>
        </w:rPr>
        <w:t> </w:t>
      </w:r>
    </w:p>
    <w:p>
      <w:pPr>
        <w:pStyle w:val="TextBody"/>
        <w:bidi w:val="0"/>
        <w:spacing w:before="0" w:after="0"/>
        <w:ind w:left="839" w:right="0" w:hanging="0"/>
        <w:jc w:val="left"/>
        <w:rPr>
          <w:rFonts w:ascii="Times New Roman" w:hAnsi="Times New Roman"/>
          <w:color w:val="000000"/>
          <w:sz w:val="20"/>
        </w:rPr>
      </w:pPr>
      <w:r>
        <w:rPr>
          <w:rFonts w:ascii="Times New Roman" w:hAnsi="Times New Roman"/>
          <w:color w:val="000000"/>
          <w:sz w:val="20"/>
        </w:rPr>
        <w:t>Section 1.          </w:t>
      </w:r>
      <w:r>
        <w:rPr>
          <w:rFonts w:ascii="Times New Roman" w:hAnsi="Times New Roman"/>
          <w:color w:val="000000"/>
          <w:sz w:val="20"/>
          <w:u w:val="single"/>
        </w:rPr>
        <w:t>Facsimile Signatures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8" w:firstLine="1440"/>
        <w:jc w:val="both"/>
        <w:rPr>
          <w:rFonts w:ascii="Times New Roman" w:hAnsi="Times New Roman"/>
          <w:color w:val="000000"/>
          <w:sz w:val="20"/>
        </w:rPr>
      </w:pPr>
      <w:r>
        <w:rPr>
          <w:rFonts w:ascii="Times New Roman" w:hAnsi="Times New Roman"/>
          <w:color w:val="000000"/>
          <w:sz w:val="20"/>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2.          </w:t>
      </w:r>
      <w:r>
        <w:rPr>
          <w:rFonts w:ascii="Times New Roman" w:hAnsi="Times New Roman"/>
          <w:color w:val="000000"/>
          <w:sz w:val="20"/>
          <w:u w:val="single"/>
        </w:rPr>
        <w:t>Books and Records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2" w:firstLine="1440"/>
        <w:jc w:val="both"/>
        <w:rPr>
          <w:rFonts w:ascii="Times New Roman" w:hAnsi="Times New Roman"/>
          <w:color w:val="000000"/>
          <w:sz w:val="20"/>
        </w:rPr>
      </w:pPr>
      <w:r>
        <w:rPr>
          <w:rFonts w:ascii="Times New Roman" w:hAnsi="Times New Roman"/>
          <w:color w:val="000000"/>
          <w:sz w:val="20"/>
        </w:rPr>
        <w:t>Any records administered by or on behalf of the Corporation in the regular course of its business, including its stock ledger, books of account, and minute books, may be maintained on any information storage device, method, or one or more electronic networks or databases (including one or more distributed electronic networks or databases); provided that the records so kept can be converted into clearly legible paper form within a reasonable time, and, with respect to the stock ledger, the records so kept comply with Section 224 of the Delaware General Corporation Law. The Corporation shall so convert any records so kept upon the request of any person entitled to inspect such records pursuant to applicable law.</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Section 3.          </w:t>
      </w:r>
      <w:r>
        <w:rPr>
          <w:rFonts w:ascii="Times New Roman" w:hAnsi="Times New Roman"/>
          <w:color w:val="000000"/>
          <w:sz w:val="20"/>
          <w:u w:val="single"/>
        </w:rPr>
        <w:t>Corporate Seal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0" w:firstLine="1440"/>
        <w:jc w:val="left"/>
        <w:rPr>
          <w:rFonts w:ascii="Times New Roman" w:hAnsi="Times New Roman"/>
          <w:color w:val="000000"/>
          <w:sz w:val="20"/>
        </w:rPr>
      </w:pPr>
      <w:r>
        <w:rPr>
          <w:rFonts w:ascii="Times New Roman" w:hAnsi="Times New Roman"/>
          <w:color w:val="000000"/>
          <w:sz w:val="20"/>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pStyle w:val="TextBody"/>
        <w:bidi w:val="0"/>
        <w:spacing w:before="0" w:after="0"/>
        <w:jc w:val="left"/>
        <w:rPr>
          <w:color w:val="000000"/>
        </w:rPr>
      </w:pPr>
      <w:r>
        <w:rPr>
          <w:color w:val="000000"/>
        </w:rPr>
        <w:t xml:space="preserve">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 xml:space="preserve">Section 4.         </w:t>
      </w:r>
      <w:r>
        <w:rPr>
          <w:rFonts w:ascii="Times New Roman" w:hAnsi="Times New Roman"/>
          <w:color w:val="000000"/>
          <w:sz w:val="20"/>
          <w:u w:val="single"/>
        </w:rPr>
        <w:t>Reliance upon Books, Reports and Records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7" w:firstLine="1440"/>
        <w:jc w:val="both"/>
        <w:rPr>
          <w:rFonts w:ascii="Times New Roman" w:hAnsi="Times New Roman"/>
          <w:color w:val="000000"/>
          <w:sz w:val="20"/>
        </w:rPr>
      </w:pPr>
      <w:r>
        <w:rPr>
          <w:rFonts w:ascii="Times New Roman" w:hAnsi="Times New Roman"/>
          <w:color w:val="000000"/>
          <w:sz w:val="20"/>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 xml:space="preserve">Section 5.         </w:t>
      </w:r>
      <w:r>
        <w:rPr>
          <w:rFonts w:ascii="Times New Roman" w:hAnsi="Times New Roman"/>
          <w:color w:val="000000"/>
          <w:sz w:val="20"/>
          <w:u w:val="single"/>
        </w:rPr>
        <w:t>Fiscal Year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0" w:firstLine="1440"/>
        <w:jc w:val="both"/>
        <w:rPr>
          <w:rFonts w:ascii="Times New Roman" w:hAnsi="Times New Roman"/>
          <w:color w:val="000000"/>
          <w:sz w:val="20"/>
        </w:rPr>
      </w:pPr>
      <w:r>
        <w:rPr>
          <w:rFonts w:ascii="Times New Roman" w:hAnsi="Times New Roman"/>
          <w:color w:val="000000"/>
          <w:sz w:val="20"/>
        </w:rPr>
        <w:t>The fiscal year of the Corporation shall begin on January 1 and end on December 31 of each year.</w:t>
      </w:r>
    </w:p>
    <w:p>
      <w:pPr>
        <w:pStyle w:val="TextBody"/>
        <w:bidi w:val="0"/>
        <w:spacing w:before="0" w:after="0"/>
        <w:jc w:val="left"/>
        <w:rPr>
          <w:sz w:val="20"/>
        </w:rPr>
      </w:pPr>
      <w:r>
        <w:rPr>
          <w:sz w:val="20"/>
        </w:rPr>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 xml:space="preserve">Section 6.         </w:t>
      </w:r>
      <w:r>
        <w:rPr>
          <w:rFonts w:ascii="Times New Roman" w:hAnsi="Times New Roman"/>
          <w:color w:val="000000"/>
          <w:sz w:val="20"/>
          <w:u w:val="single"/>
        </w:rPr>
        <w:t>Checks, Notes, Drafts, Etc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0" w:firstLine="1440"/>
        <w:jc w:val="both"/>
        <w:rPr>
          <w:rFonts w:ascii="Times New Roman" w:hAnsi="Times New Roman"/>
          <w:color w:val="000000"/>
          <w:sz w:val="20"/>
        </w:rPr>
      </w:pPr>
      <w:r>
        <w:rPr>
          <w:rFonts w:ascii="Times New Roman" w:hAnsi="Times New Roman"/>
          <w:color w:val="000000"/>
          <w:sz w:val="20"/>
        </w:rPr>
        <w:t>All checks, notes, drafts, or other orders for the payment of money of the Corporation shall be signed, endorsed, or accepted in the name of the Corporation by such officer, officers, person, or persons as from time to time may be designated by the Board of Directors or by an officer or officers authorized by the Board of Directors to make such designation.</w:t>
      </w:r>
    </w:p>
    <w:p>
      <w:pPr>
        <w:pStyle w:val="TextBody"/>
        <w:bidi w:val="0"/>
        <w:spacing w:before="0" w:after="0"/>
        <w:jc w:val="left"/>
        <w:rPr>
          <w:color w:val="000000"/>
        </w:rPr>
      </w:pPr>
      <w:r>
        <w:rPr>
          <w:color w:val="000000"/>
        </w:rPr>
        <w:t> </w:t>
      </w:r>
    </w:p>
    <w:p>
      <w:pPr>
        <w:pStyle w:val="TextBody"/>
        <w:bidi w:val="0"/>
        <w:spacing w:before="0" w:after="0"/>
        <w:ind w:left="839" w:right="0" w:hanging="0"/>
        <w:jc w:val="left"/>
        <w:rPr>
          <w:rFonts w:ascii="Times New Roman" w:hAnsi="Times New Roman"/>
          <w:color w:val="000000"/>
          <w:sz w:val="20"/>
        </w:rPr>
      </w:pPr>
      <w:r>
        <w:rPr>
          <w:rFonts w:ascii="Times New Roman" w:hAnsi="Times New Roman"/>
          <w:color w:val="000000"/>
          <w:sz w:val="20"/>
        </w:rPr>
        <w:t xml:space="preserve">Section 7.        </w:t>
      </w:r>
      <w:r>
        <w:rPr>
          <w:rFonts w:ascii="Times New Roman" w:hAnsi="Times New Roman"/>
          <w:color w:val="000000"/>
          <w:sz w:val="20"/>
          <w:u w:val="single"/>
        </w:rPr>
        <w:t>Dividends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20" w:firstLine="1440"/>
        <w:jc w:val="both"/>
        <w:rPr>
          <w:rFonts w:ascii="Times New Roman" w:hAnsi="Times New Roman"/>
          <w:color w:val="000000"/>
          <w:sz w:val="20"/>
        </w:rPr>
      </w:pPr>
      <w:r>
        <w:rPr>
          <w:rFonts w:ascii="Times New Roman" w:hAnsi="Times New Roman"/>
          <w:color w:val="000000"/>
          <w:sz w:val="20"/>
        </w:rPr>
        <w:t>Subject to applicable law and the Certificate of Incorporation, dividends upon the shares of capital stock of the Corporation may be declared by the Board of Directors at any regular or special meeting of the Board of Directors. Dividends may be paid in cash, in property, or in shares of the Corporation’s capital stock, unless otherwise provided by applicable law or the Certificate of Incorporation.</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 xml:space="preserve">Section 8.       </w:t>
      </w:r>
      <w:r>
        <w:rPr>
          <w:rFonts w:ascii="Times New Roman" w:hAnsi="Times New Roman"/>
          <w:color w:val="000000"/>
          <w:sz w:val="20"/>
          <w:u w:val="single"/>
        </w:rPr>
        <w:t>Time Periods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7" w:firstLine="1440"/>
        <w:jc w:val="both"/>
        <w:rPr>
          <w:rFonts w:ascii="Times New Roman" w:hAnsi="Times New Roman"/>
          <w:color w:val="000000"/>
          <w:sz w:val="20"/>
        </w:rPr>
      </w:pPr>
      <w:r>
        <w:rPr>
          <w:rFonts w:ascii="Times New Roman" w:hAnsi="Times New Roman"/>
          <w:color w:val="000000"/>
          <w:sz w:val="20"/>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pStyle w:val="TextBody"/>
        <w:bidi w:val="0"/>
        <w:spacing w:before="0" w:after="0"/>
        <w:jc w:val="left"/>
        <w:rPr>
          <w:color w:val="000000"/>
        </w:rPr>
      </w:pPr>
      <w:r>
        <w:rPr>
          <w:color w:val="000000"/>
        </w:rPr>
        <w:t> </w:t>
      </w:r>
    </w:p>
    <w:p>
      <w:pPr>
        <w:pStyle w:val="TextBody"/>
        <w:bidi w:val="0"/>
        <w:spacing w:before="0" w:after="0"/>
        <w:ind w:left="840" w:right="0" w:hanging="0"/>
        <w:jc w:val="left"/>
        <w:rPr>
          <w:rFonts w:ascii="Times New Roman" w:hAnsi="Times New Roman"/>
          <w:color w:val="000000"/>
          <w:sz w:val="20"/>
        </w:rPr>
      </w:pPr>
      <w:r>
        <w:rPr>
          <w:rFonts w:ascii="Times New Roman" w:hAnsi="Times New Roman"/>
          <w:color w:val="000000"/>
          <w:sz w:val="20"/>
        </w:rPr>
        <w:t xml:space="preserve">Section 9.       </w:t>
      </w:r>
      <w:r>
        <w:rPr>
          <w:rFonts w:ascii="Times New Roman" w:hAnsi="Times New Roman"/>
          <w:color w:val="000000"/>
          <w:sz w:val="20"/>
          <w:u w:val="single"/>
        </w:rPr>
        <w:t>Conflict with Applicable Law or Certificate of Incorporation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8" w:firstLine="1440"/>
        <w:jc w:val="both"/>
        <w:rPr>
          <w:rFonts w:ascii="Times New Roman" w:hAnsi="Times New Roman"/>
          <w:color w:val="000000"/>
          <w:sz w:val="20"/>
        </w:rPr>
      </w:pPr>
      <w:r>
        <w:rPr>
          <w:rFonts w:ascii="Times New Roman" w:hAnsi="Times New Roman"/>
          <w:color w:val="000000"/>
          <w:sz w:val="20"/>
        </w:rPr>
        <w:t>These Bylaws are adopted subject to any applicable law and the Certificate of Incorporation. Whenever these Bylaws may conflict with any applicable law or the Certificate of Incorporation, such conflict shall be resolved in favor of such law or the Certificate of Incorporation.</w:t>
      </w:r>
    </w:p>
    <w:p>
      <w:pPr>
        <w:pStyle w:val="TextBody"/>
        <w:bidi w:val="0"/>
        <w:spacing w:before="0" w:after="0"/>
        <w:ind w:left="120" w:right="118" w:firstLine="144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xml:space="preserve">ARTICLE VIII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INDEMNIFICATION OF DIRECTORS AND OFFICERS</w:t>
      </w:r>
    </w:p>
    <w:p>
      <w:pPr>
        <w:pStyle w:val="TextBody"/>
        <w:bidi w:val="0"/>
        <w:spacing w:before="0" w:after="0"/>
        <w:jc w:val="left"/>
        <w:rPr>
          <w:color w:val="000000"/>
        </w:rPr>
      </w:pPr>
      <w:r>
        <w:rPr>
          <w:color w:val="000000"/>
        </w:rPr>
        <w:t> </w:t>
      </w:r>
    </w:p>
    <w:p>
      <w:pPr>
        <w:pStyle w:val="TextBody"/>
        <w:bidi w:val="0"/>
        <w:spacing w:before="0" w:after="0"/>
        <w:ind w:left="1560" w:right="0" w:hanging="0"/>
        <w:jc w:val="left"/>
        <w:rPr>
          <w:rFonts w:ascii="Times New Roman" w:hAnsi="Times New Roman"/>
          <w:color w:val="000000"/>
          <w:sz w:val="20"/>
        </w:rPr>
      </w:pPr>
      <w:r>
        <w:rPr>
          <w:rFonts w:ascii="Times New Roman" w:hAnsi="Times New Roman"/>
          <w:color w:val="000000"/>
          <w:sz w:val="20"/>
        </w:rPr>
        <w:t>Section 1.          </w:t>
      </w:r>
      <w:r>
        <w:rPr>
          <w:rFonts w:ascii="Times New Roman" w:hAnsi="Times New Roman"/>
          <w:color w:val="000000"/>
          <w:sz w:val="20"/>
          <w:u w:val="single"/>
        </w:rPr>
        <w:t>Right to Indemnification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20" w:right="111" w:firstLine="1439"/>
        <w:jc w:val="both"/>
        <w:rPr>
          <w:rFonts w:ascii="Times New Roman" w:hAnsi="Times New Roman"/>
          <w:color w:val="000000"/>
          <w:sz w:val="20"/>
        </w:rPr>
      </w:pPr>
      <w:r>
        <w:rPr>
          <w:rFonts w:ascii="Times New Roman" w:hAnsi="Times New Roman"/>
          <w:color w:val="000000"/>
          <w:sz w:val="20"/>
        </w:rPr>
        <w:t>Each person who was or is a party or is threatened to be made a party to, or was or is otherwise involved in, any action, suit, arbitration, alternative dispute resolution mechanism, investigation, inquiry, judicial, administrative or legislative hearing, or any other threatened, pending or completed proceeding, whether brought by or in the right of the Corporation or otherwise, including any and all appeals, whether of a civil, criminal, administrative, legislative, investigative or other nature (hereinafter a “</w:t>
      </w:r>
      <w:r>
        <w:rPr>
          <w:rFonts w:ascii="Times New Roman" w:hAnsi="Times New Roman"/>
          <w:i/>
          <w:color w:val="000000"/>
          <w:sz w:val="20"/>
        </w:rPr>
        <w:t>proceeding</w:t>
      </w:r>
      <w:r>
        <w:rPr>
          <w:rFonts w:ascii="Times New Roman" w:hAnsi="Times New Roman"/>
          <w:color w:val="000000"/>
          <w:sz w:val="20"/>
        </w:rPr>
        <w:t>”), by reason of the fact that he or she is or was a director or an officer of the Corporation or while a director or an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Times New Roman" w:hAnsi="Times New Roman"/>
          <w:i/>
          <w:color w:val="000000"/>
          <w:sz w:val="20"/>
        </w:rPr>
        <w:t>indemnitee</w:t>
      </w:r>
      <w:r>
        <w:rPr>
          <w:rFonts w:ascii="Times New Roman" w:hAnsi="Times New Roman"/>
          <w:color w:val="000000"/>
          <w:sz w:val="20"/>
        </w:rPr>
        <w:t>”), or by reason of anything done or not done by him or her in any such capacity, shall be indemnified and held harmless by the Corporation to the fullest extent authorized by the Delaware General Corporation Law as the same exists or may hereafter be amended, against all expense, liability and loss (including attorneys’ fees, judgments, fines, ERISA excise taxes, penalties and amounts paid in settlement by or on behalf of the indemnitee) actually and reasonably incurred by such indemnitee in connection therewith, all on the terms and conditions set forth in these Bylaws; provided, however, that, except as otherwise required by law with respect to suits to enforce rights under this Article VIII, the Corporation shall indemnify any such indemnitee in connection with a proceeding, or part thereof, voluntarily initiated by such indemnitee (including claims and counterclaims, whether such counterclaims are asserted by: (i) such indemnitee; or (ii) the Corporation in a proceeding initiated by such indemnitee) only if such proceeding, or part thereof, was authorized or ratified by the Board of Directors or the Board of Directors otherwise determines that indemnification or advancement of expenses is appropriate.</w:t>
      </w:r>
    </w:p>
    <w:p>
      <w:pPr>
        <w:pStyle w:val="TextBody"/>
        <w:bidi w:val="0"/>
        <w:spacing w:before="0" w:after="0"/>
        <w:jc w:val="left"/>
        <w:rPr>
          <w:sz w:val="20"/>
        </w:rPr>
      </w:pPr>
      <w:r>
        <w:rPr>
          <w:sz w:val="20"/>
        </w:rPr>
      </w:r>
    </w:p>
    <w:p>
      <w:pPr>
        <w:pStyle w:val="TextBody"/>
        <w:bidi w:val="0"/>
        <w:spacing w:before="0" w:after="0"/>
        <w:ind w:left="1560" w:right="0" w:hanging="0"/>
        <w:jc w:val="left"/>
        <w:rPr>
          <w:rFonts w:ascii="Times New Roman" w:hAnsi="Times New Roman"/>
          <w:color w:val="000000"/>
          <w:sz w:val="20"/>
        </w:rPr>
      </w:pPr>
      <w:r>
        <w:rPr>
          <w:rFonts w:ascii="Times New Roman" w:hAnsi="Times New Roman"/>
          <w:color w:val="000000"/>
          <w:sz w:val="20"/>
        </w:rPr>
        <w:t>Section 2.          </w:t>
      </w:r>
      <w:r>
        <w:rPr>
          <w:rFonts w:ascii="Times New Roman" w:hAnsi="Times New Roman"/>
          <w:color w:val="000000"/>
          <w:sz w:val="20"/>
          <w:u w:val="single"/>
        </w:rPr>
        <w:t>Right to Advancement of Expenses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13" w:firstLine="1440"/>
        <w:jc w:val="both"/>
        <w:rPr>
          <w:rFonts w:ascii="Times New Roman" w:hAnsi="Times New Roman"/>
          <w:color w:val="000000"/>
          <w:sz w:val="20"/>
        </w:rPr>
      </w:pPr>
      <w:r>
        <w:rPr>
          <w:rFonts w:ascii="Times New Roman" w:hAnsi="Times New Roman"/>
          <w:color w:val="000000"/>
          <w:sz w:val="20"/>
        </w:rPr>
        <w:t>In addition to the right to indemnification conferred in Section 1 of this Article VIII, an indemnitee shall also have the right to be paid by the Corporation the expenses (including attorney’s fees) incurred in defending any such proceeding in advance of its final disposition (hereinafter an “</w:t>
      </w:r>
      <w:r>
        <w:rPr>
          <w:rFonts w:ascii="Times New Roman" w:hAnsi="Times New Roman"/>
          <w:i/>
          <w:color w:val="000000"/>
          <w:sz w:val="20"/>
        </w:rPr>
        <w:t>advancement of expenses</w:t>
      </w:r>
      <w:r>
        <w:rPr>
          <w:rFonts w:ascii="Times New Roman" w:hAnsi="Times New Roman"/>
          <w:color w:val="000000"/>
          <w:sz w:val="20"/>
        </w:rPr>
        <w:t>”); provided, however,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w:t>
      </w:r>
      <w:r>
        <w:rPr>
          <w:rFonts w:ascii="Times New Roman" w:hAnsi="Times New Roman"/>
          <w:i/>
          <w:color w:val="000000"/>
          <w:sz w:val="20"/>
        </w:rPr>
        <w:t>undertaking</w:t>
      </w:r>
      <w:r>
        <w:rPr>
          <w:rFonts w:ascii="Times New Roman" w:hAnsi="Times New Roman"/>
          <w:color w:val="000000"/>
          <w:sz w:val="20"/>
        </w:rPr>
        <w:t>”), by or on behalf of such indemnitee, to repay all amounts so advanced if it shall ultimately be determined by final judicial decision from which there is no further right to appeal (hereinafter a “</w:t>
      </w:r>
      <w:r>
        <w:rPr>
          <w:rFonts w:ascii="Times New Roman" w:hAnsi="Times New Roman"/>
          <w:i/>
          <w:color w:val="000000"/>
          <w:sz w:val="20"/>
        </w:rPr>
        <w:t>final adjudication</w:t>
      </w:r>
      <w:r>
        <w:rPr>
          <w:rFonts w:ascii="Times New Roman" w:hAnsi="Times New Roman"/>
          <w:color w:val="000000"/>
          <w:sz w:val="20"/>
        </w:rPr>
        <w:t>”) that such indemnitee is not entitled to be indemnified for such expenses under this Section 2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1560" w:right="0" w:hanging="0"/>
        <w:jc w:val="left"/>
        <w:rPr>
          <w:rFonts w:ascii="Times New Roman" w:hAnsi="Times New Roman"/>
          <w:color w:val="000000"/>
          <w:sz w:val="20"/>
        </w:rPr>
      </w:pPr>
      <w:r>
        <w:rPr>
          <w:rFonts w:ascii="Times New Roman" w:hAnsi="Times New Roman"/>
          <w:color w:val="000000"/>
          <w:sz w:val="20"/>
        </w:rPr>
        <w:t>Section 3.          </w:t>
      </w:r>
      <w:r>
        <w:rPr>
          <w:rFonts w:ascii="Times New Roman" w:hAnsi="Times New Roman"/>
          <w:color w:val="000000"/>
          <w:sz w:val="20"/>
          <w:u w:val="single"/>
        </w:rPr>
        <w:t>Right of Indemnitee to Bring Suit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21" w:firstLine="1440"/>
        <w:jc w:val="both"/>
        <w:rPr>
          <w:rFonts w:ascii="Times New Roman" w:hAnsi="Times New Roman"/>
          <w:color w:val="000000"/>
          <w:sz w:val="20"/>
        </w:rPr>
      </w:pPr>
      <w:r>
        <w:rPr>
          <w:rFonts w:ascii="Times New Roman" w:hAnsi="Times New Roman"/>
          <w:color w:val="000000"/>
          <w:sz w:val="20"/>
        </w:rPr>
        <w:t>If a claim under Section 1 or 2 of this Article VIII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VIII or otherwise shall be on the Corporation.</w:t>
      </w:r>
    </w:p>
    <w:p>
      <w:pPr>
        <w:pStyle w:val="TextBody"/>
        <w:bidi w:val="0"/>
        <w:spacing w:before="0" w:after="0"/>
        <w:jc w:val="left"/>
        <w:rPr>
          <w:sz w:val="20"/>
        </w:rPr>
      </w:pPr>
      <w:r>
        <w:rPr>
          <w:sz w:val="20"/>
        </w:rPr>
      </w:r>
    </w:p>
    <w:p>
      <w:pPr>
        <w:pStyle w:val="TextBody"/>
        <w:bidi w:val="0"/>
        <w:spacing w:before="0" w:after="0"/>
        <w:ind w:left="119" w:right="121" w:firstLine="1440"/>
        <w:jc w:val="both"/>
        <w:rPr>
          <w:rFonts w:ascii="Times New Roman" w:hAnsi="Times New Roman"/>
          <w:color w:val="000000"/>
          <w:sz w:val="20"/>
        </w:rPr>
      </w:pPr>
      <w:r>
        <w:rPr>
          <w:rFonts w:ascii="Times New Roman" w:hAnsi="Times New Roman"/>
          <w:color w:val="000000"/>
          <w:sz w:val="20"/>
        </w:rPr>
        <w:t>Section 4.          </w:t>
      </w:r>
      <w:r>
        <w:rPr>
          <w:rFonts w:ascii="Times New Roman" w:hAnsi="Times New Roman"/>
          <w:color w:val="000000"/>
          <w:sz w:val="20"/>
          <w:u w:val="single"/>
        </w:rPr>
        <w:t>Indemnification for Successful Defense</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119" w:right="121" w:firstLine="1440"/>
        <w:jc w:val="both"/>
        <w:rPr>
          <w:rFonts w:ascii="Times New Roman" w:hAnsi="Times New Roman"/>
          <w:color w:val="000000"/>
          <w:sz w:val="20"/>
        </w:rPr>
      </w:pPr>
      <w:r>
        <w:rPr>
          <w:rFonts w:ascii="Times New Roman" w:hAnsi="Times New Roman"/>
          <w:color w:val="000000"/>
          <w:sz w:val="20"/>
        </w:rPr>
        <w:t>To the extent that an indemnitee has been successful on the merits or otherwise in defense of any proceeding (or in defense of any claim, issue or matter therein), such indemnitee shall be indemnified under this Article VIII against expenses (including attorneys’ fees) actually and reasonably incurred in connection with such defense. Indemnification under this Article VIII shall not be subject to satisfaction of a standard of conduct, and the Corporation may not assert the failure to satisfy a standard of conduct as a basis to deny indemnification or recover amounts advanced.</w:t>
      </w:r>
    </w:p>
    <w:p>
      <w:pPr>
        <w:pStyle w:val="TextBody"/>
        <w:bidi w:val="0"/>
        <w:spacing w:before="0" w:after="0"/>
        <w:jc w:val="left"/>
        <w:rPr>
          <w:color w:val="000000"/>
        </w:rPr>
      </w:pPr>
      <w:r>
        <w:rPr>
          <w:color w:val="000000"/>
        </w:rPr>
        <w:t> </w:t>
      </w:r>
    </w:p>
    <w:p>
      <w:pPr>
        <w:pStyle w:val="TextBody"/>
        <w:bidi w:val="0"/>
        <w:spacing w:before="0" w:after="0"/>
        <w:ind w:left="1560" w:right="0" w:hanging="0"/>
        <w:jc w:val="left"/>
        <w:rPr>
          <w:rFonts w:ascii="Times New Roman" w:hAnsi="Times New Roman"/>
          <w:color w:val="000000"/>
          <w:sz w:val="20"/>
        </w:rPr>
      </w:pPr>
      <w:r>
        <w:rPr>
          <w:rFonts w:ascii="Times New Roman" w:hAnsi="Times New Roman"/>
          <w:color w:val="000000"/>
          <w:sz w:val="20"/>
        </w:rPr>
        <w:t>Section 5.          </w:t>
      </w:r>
      <w:r>
        <w:rPr>
          <w:rFonts w:ascii="Times New Roman" w:hAnsi="Times New Roman"/>
          <w:color w:val="000000"/>
          <w:sz w:val="20"/>
          <w:u w:val="single"/>
        </w:rPr>
        <w:t>Non-Exclusivity of Rights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18" w:firstLine="1440"/>
        <w:jc w:val="both"/>
        <w:rPr>
          <w:rFonts w:ascii="Times New Roman" w:hAnsi="Times New Roman"/>
          <w:color w:val="000000"/>
          <w:sz w:val="20"/>
        </w:rPr>
      </w:pPr>
      <w:r>
        <w:rPr>
          <w:rFonts w:ascii="Times New Roman" w:hAnsi="Times New Roman"/>
          <w:color w:val="000000"/>
          <w:sz w:val="20"/>
        </w:rPr>
        <w:t>The rights to indemnification and to the advancement of expenses conferred in this Article VIII shall not be exclusive of any other right which any person may have or hereafter acquire under any statute, the Corporation’s Certificate of Incorporation, these Bylaws, agreement, vote of stockholders or disinterested directors or otherwise.</w:t>
      </w:r>
    </w:p>
    <w:p>
      <w:pPr>
        <w:pStyle w:val="TextBody"/>
        <w:bidi w:val="0"/>
        <w:spacing w:before="0" w:after="0"/>
        <w:jc w:val="left"/>
        <w:rPr>
          <w:color w:val="000000"/>
        </w:rPr>
      </w:pPr>
      <w:r>
        <w:rPr>
          <w:color w:val="000000"/>
        </w:rPr>
        <w:t> </w:t>
      </w:r>
    </w:p>
    <w:p>
      <w:pPr>
        <w:pStyle w:val="TextBody"/>
        <w:bidi w:val="0"/>
        <w:spacing w:before="0" w:after="0"/>
        <w:ind w:left="1559" w:right="0" w:hanging="0"/>
        <w:jc w:val="left"/>
        <w:rPr>
          <w:rFonts w:ascii="Times New Roman" w:hAnsi="Times New Roman"/>
          <w:color w:val="000000"/>
          <w:sz w:val="20"/>
        </w:rPr>
      </w:pPr>
      <w:r>
        <w:rPr>
          <w:rFonts w:ascii="Times New Roman" w:hAnsi="Times New Roman"/>
          <w:color w:val="000000"/>
          <w:sz w:val="20"/>
        </w:rPr>
        <w:t>Section 6.          </w:t>
      </w:r>
      <w:r>
        <w:rPr>
          <w:rFonts w:ascii="Times New Roman" w:hAnsi="Times New Roman"/>
          <w:color w:val="000000"/>
          <w:sz w:val="20"/>
          <w:u w:val="single"/>
        </w:rPr>
        <w:t>Insurance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16" w:firstLine="1440"/>
        <w:jc w:val="both"/>
        <w:rPr>
          <w:rFonts w:ascii="Times New Roman" w:hAnsi="Times New Roman"/>
          <w:color w:val="000000"/>
          <w:sz w:val="20"/>
        </w:rPr>
      </w:pPr>
      <w:r>
        <w:rPr>
          <w:rFonts w:ascii="Times New Roman" w:hAnsi="Times New Roman"/>
          <w:color w:val="000000"/>
          <w:sz w:val="20"/>
        </w:rPr>
        <w:t>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1559" w:right="123" w:hanging="0"/>
        <w:jc w:val="both"/>
        <w:rPr>
          <w:rFonts w:ascii="Times New Roman" w:hAnsi="Times New Roman"/>
          <w:color w:val="000000"/>
          <w:sz w:val="20"/>
        </w:rPr>
      </w:pPr>
      <w:r>
        <w:rPr>
          <w:rFonts w:ascii="Times New Roman" w:hAnsi="Times New Roman"/>
          <w:color w:val="000000"/>
          <w:sz w:val="20"/>
        </w:rPr>
        <w:t xml:space="preserve">Section 7.          </w:t>
      </w:r>
      <w:r>
        <w:rPr>
          <w:rFonts w:ascii="Times New Roman" w:hAnsi="Times New Roman"/>
          <w:color w:val="000000"/>
          <w:sz w:val="20"/>
          <w:u w:val="single"/>
        </w:rPr>
        <w:t>Indemnification of Employees and Agents of the Corporation</w:t>
      </w:r>
      <w:r>
        <w:rPr>
          <w:rFonts w:ascii="Times New Roman" w:hAnsi="Times New Roman"/>
          <w:color w:val="000000"/>
          <w:sz w:val="20"/>
        </w:rPr>
        <w:t xml:space="preserve">. </w:t>
      </w:r>
    </w:p>
    <w:p>
      <w:pPr>
        <w:pStyle w:val="TextBody"/>
        <w:bidi w:val="0"/>
        <w:spacing w:before="0" w:after="0"/>
        <w:ind w:left="659" w:right="123" w:hanging="0"/>
        <w:jc w:val="both"/>
        <w:rPr>
          <w:rFonts w:ascii="Times New Roman" w:hAnsi="Times New Roman"/>
          <w:sz w:val="20"/>
        </w:rPr>
      </w:pPr>
      <w:r>
        <w:rPr>
          <w:rFonts w:ascii="Times New Roman" w:hAnsi="Times New Roman"/>
          <w:sz w:val="20"/>
        </w:rPr>
      </w:r>
    </w:p>
    <w:p>
      <w:pPr>
        <w:pStyle w:val="TextBody"/>
        <w:bidi w:val="0"/>
        <w:spacing w:before="0" w:after="0"/>
        <w:ind w:left="119" w:right="123" w:firstLine="1440"/>
        <w:jc w:val="both"/>
        <w:rPr>
          <w:rFonts w:ascii="Times New Roman" w:hAnsi="Times New Roman"/>
          <w:color w:val="000000"/>
          <w:sz w:val="20"/>
        </w:rPr>
      </w:pPr>
      <w:r>
        <w:rPr>
          <w:rFonts w:ascii="Times New Roman" w:hAnsi="Times New Roman"/>
          <w:color w:val="000000"/>
          <w:sz w:val="20"/>
        </w:rPr>
        <w:t>The Corporation may, to the extent authorized from time to time by the Board of Directors, grant rights to indemnification and to the advancement of expenses to any employee or agent of the Corporation to the fullest extent of the provisions of this Article with respect to the indemnification and advancement of expenses of directors and officers of the Corporation.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1559" w:right="0" w:hanging="0"/>
        <w:jc w:val="left"/>
        <w:rPr>
          <w:rFonts w:ascii="Times New Roman" w:hAnsi="Times New Roman"/>
          <w:color w:val="000000"/>
          <w:sz w:val="20"/>
        </w:rPr>
      </w:pPr>
      <w:r>
        <w:rPr>
          <w:rFonts w:ascii="Times New Roman" w:hAnsi="Times New Roman"/>
          <w:color w:val="000000"/>
          <w:sz w:val="20"/>
        </w:rPr>
        <w:t>Section 8.          </w:t>
      </w:r>
      <w:r>
        <w:rPr>
          <w:rFonts w:ascii="Times New Roman" w:hAnsi="Times New Roman"/>
          <w:color w:val="000000"/>
          <w:sz w:val="20"/>
          <w:u w:val="single"/>
        </w:rPr>
        <w:t>Nature of Rights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19" w:right="125" w:firstLine="1440"/>
        <w:jc w:val="both"/>
        <w:rPr>
          <w:rFonts w:ascii="Times New Roman" w:hAnsi="Times New Roman"/>
          <w:color w:val="000000"/>
          <w:sz w:val="20"/>
        </w:rPr>
      </w:pPr>
      <w:r>
        <w:rPr>
          <w:rFonts w:ascii="Times New Roman" w:hAnsi="Times New Roman"/>
          <w:color w:val="000000"/>
          <w:sz w:val="20"/>
        </w:rPr>
        <w:t>The rights conferred upon indemnitees in this Article VIII shall be contract rights and such rights shall continue as to an indemnitee who has ceased to be a director, officer or trustee and shall inure to the benefit of the indemnitee’s heirs, executors and administrators. Any amendment, alteration or repeal of this Article VIII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alteration or repeal.</w:t>
      </w:r>
    </w:p>
    <w:p>
      <w:pPr>
        <w:pStyle w:val="TextBody"/>
        <w:bidi w:val="0"/>
        <w:spacing w:before="0" w:after="0"/>
        <w:jc w:val="left"/>
        <w:rPr>
          <w:color w:val="000000"/>
        </w:rPr>
      </w:pPr>
      <w:r>
        <w:rPr>
          <w:color w:val="000000"/>
        </w:rPr>
        <w:t> </w:t>
      </w:r>
    </w:p>
    <w:p>
      <w:pPr>
        <w:pStyle w:val="TextBody"/>
        <w:bidi w:val="0"/>
        <w:spacing w:before="0" w:after="0"/>
        <w:ind w:left="3960" w:right="3952" w:hanging="8"/>
        <w:jc w:val="center"/>
        <w:rPr>
          <w:rFonts w:ascii="Times New Roman" w:hAnsi="Times New Roman"/>
          <w:color w:val="000000"/>
          <w:sz w:val="20"/>
        </w:rPr>
      </w:pPr>
      <w:r>
        <w:rPr>
          <w:rFonts w:ascii="Times New Roman" w:hAnsi="Times New Roman"/>
          <w:color w:val="000000"/>
          <w:sz w:val="20"/>
        </w:rPr>
        <w:t xml:space="preserve">ARTICLE IX </w:t>
      </w:r>
    </w:p>
    <w:p>
      <w:pPr>
        <w:pStyle w:val="TextBody"/>
        <w:bidi w:val="0"/>
        <w:spacing w:before="0" w:after="0"/>
        <w:ind w:left="3960" w:right="3952" w:hanging="8"/>
        <w:jc w:val="center"/>
        <w:rPr>
          <w:rFonts w:ascii="Times New Roman" w:hAnsi="Times New Roman"/>
          <w:color w:val="000000"/>
          <w:sz w:val="20"/>
        </w:rPr>
      </w:pPr>
      <w:r>
        <w:rPr>
          <w:rFonts w:ascii="Times New Roman" w:hAnsi="Times New Roman"/>
          <w:color w:val="000000"/>
          <w:sz w:val="20"/>
        </w:rPr>
        <w:t>AMENDMENTS</w:t>
      </w:r>
    </w:p>
    <w:p>
      <w:pPr>
        <w:pStyle w:val="TextBody"/>
        <w:bidi w:val="0"/>
        <w:spacing w:before="0" w:after="0"/>
        <w:jc w:val="left"/>
        <w:rPr>
          <w:sz w:val="20"/>
        </w:rPr>
      </w:pPr>
      <w:r>
        <w:rPr>
          <w:sz w:val="20"/>
        </w:rPr>
      </w:r>
    </w:p>
    <w:p>
      <w:pPr>
        <w:pStyle w:val="TextBody"/>
        <w:bidi w:val="0"/>
        <w:spacing w:before="0" w:after="0"/>
        <w:ind w:left="120" w:right="119" w:firstLine="1440"/>
        <w:jc w:val="both"/>
        <w:rPr>
          <w:rFonts w:ascii="Times New Roman" w:hAnsi="Times New Roman"/>
          <w:color w:val="000000"/>
          <w:sz w:val="20"/>
        </w:rPr>
      </w:pPr>
      <w:r>
        <w:rPr>
          <w:rFonts w:ascii="Times New Roman" w:hAnsi="Times New Roman"/>
          <w:color w:val="000000"/>
          <w:sz w:val="20"/>
        </w:rPr>
        <w:t>These Bylaws may be adopted, amended or repealed by the Board of Directors or by the stockholders. In the case of any such amendment or repeal of Article VIII or any section thereof, the amendment or repeal shall be subject to Article VIII, Section 7.</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 w:name="ef20081397_ex10-1.htm"/>
      <w:bookmarkStart w:id="9" w:name="ksef20081397_ex101"/>
      <w:bookmarkStart w:id="10" w:name="ef20081397_ex10-1.htm"/>
      <w:bookmarkStart w:id="11" w:name="ksef20081397_ex101"/>
      <w:bookmarkEnd w:id="10"/>
      <w:bookmarkEnd w:id="1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AGREEMENT REGARDING PARACHUTE PAYMENTS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AGREEMENT REGARDING PARACHUTE PAYMENTS (this “</w:t>
      </w:r>
      <w:r>
        <w:rPr>
          <w:rFonts w:ascii="Times New Roman" w:hAnsi="Times New Roman"/>
          <w:color w:val="000000"/>
          <w:sz w:val="20"/>
          <w:u w:val="single"/>
        </w:rPr>
        <w:t>Agreement</w:t>
      </w:r>
      <w:r>
        <w:rPr>
          <w:rFonts w:ascii="Times New Roman" w:hAnsi="Times New Roman"/>
          <w:color w:val="000000"/>
          <w:sz w:val="20"/>
        </w:rPr>
        <w:t>”), dated as of [date], 2026 (the “</w:t>
      </w:r>
      <w:r>
        <w:rPr>
          <w:rFonts w:ascii="Times New Roman" w:hAnsi="Times New Roman"/>
          <w:color w:val="000000"/>
          <w:sz w:val="20"/>
          <w:u w:val="single"/>
        </w:rPr>
        <w:t>Effective Date</w:t>
      </w:r>
      <w:r>
        <w:rPr>
          <w:rFonts w:ascii="Times New Roman" w:hAnsi="Times New Roman"/>
          <w:color w:val="000000"/>
          <w:sz w:val="20"/>
        </w:rPr>
        <w:t>”), is made and entered into by and between Apogee Therapeutics, Inc., a Delaware corporation (the “</w:t>
      </w:r>
      <w:r>
        <w:rPr>
          <w:rFonts w:ascii="Times New Roman" w:hAnsi="Times New Roman"/>
          <w:color w:val="000000"/>
          <w:sz w:val="20"/>
          <w:u w:val="single"/>
        </w:rPr>
        <w:t>Company</w:t>
      </w:r>
      <w:r>
        <w:rPr>
          <w:rFonts w:ascii="Times New Roman" w:hAnsi="Times New Roman"/>
          <w:color w:val="000000"/>
          <w:sz w:val="20"/>
        </w:rPr>
        <w:t>”) and [name] (the “</w:t>
      </w:r>
      <w:r>
        <w:rPr>
          <w:rFonts w:ascii="Times New Roman" w:hAnsi="Times New Roman"/>
          <w:color w:val="000000"/>
          <w:sz w:val="20"/>
          <w:u w:val="single"/>
        </w:rPr>
        <w:t>Individual</w:t>
      </w:r>
      <w:r>
        <w:rPr>
          <w:rFonts w:ascii="Times New Roman" w:hAnsi="Times New Roman"/>
          <w:color w:val="000000"/>
          <w:sz w:val="20"/>
        </w:rPr>
        <w:t>” and together with the Company, the “</w:t>
      </w:r>
      <w:r>
        <w:rPr>
          <w:rFonts w:ascii="Times New Roman" w:hAnsi="Times New Roman"/>
          <w:color w:val="000000"/>
          <w:sz w:val="20"/>
          <w:u w:val="single"/>
        </w:rPr>
        <w:t>Parties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Individual is employed by the Company and is a participant in the Apogee Therapeutics, Inc. Executive Severance Policy (the “</w:t>
      </w:r>
      <w:r>
        <w:rPr>
          <w:rFonts w:ascii="Times New Roman" w:hAnsi="Times New Roman"/>
          <w:color w:val="000000"/>
          <w:sz w:val="20"/>
          <w:u w:val="single"/>
        </w:rPr>
        <w:t>Executive Severance Policy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Company is a party to that certain Agreement and Plan of Merger, dated June 18, 2026 (the “</w:t>
      </w:r>
      <w:r>
        <w:rPr>
          <w:rFonts w:ascii="Times New Roman" w:hAnsi="Times New Roman"/>
          <w:color w:val="000000"/>
          <w:sz w:val="20"/>
          <w:u w:val="single"/>
        </w:rPr>
        <w:t>Merger Agreement</w:t>
      </w:r>
      <w:r>
        <w:rPr>
          <w:rFonts w:ascii="Times New Roman" w:hAnsi="Times New Roman"/>
          <w:color w:val="000000"/>
          <w:sz w:val="20"/>
        </w:rPr>
        <w:t>”), by and among the Company, Andor LLC, a Delaware limited liability company, Andor Merger Co., a Delaware corporation and, solely for the limited purposes set forth therein, AbbVie Inc., a Delaware corporation (“</w:t>
      </w:r>
      <w:r>
        <w:rPr>
          <w:rFonts w:ascii="Times New Roman" w:hAnsi="Times New Roman"/>
          <w:color w:val="000000"/>
          <w:sz w:val="20"/>
          <w:u w:val="single"/>
        </w:rPr>
        <w:t>AbbVie</w:t>
      </w:r>
      <w:r>
        <w:rPr>
          <w:rFonts w:ascii="Times New Roman" w:hAnsi="Times New Roman"/>
          <w:color w:val="000000"/>
          <w:sz w:val="20"/>
        </w:rPr>
        <w:t>”) whereby the Company will be acquired by AbbVie (the “</w:t>
      </w:r>
      <w:r>
        <w:rPr>
          <w:rFonts w:ascii="Times New Roman" w:hAnsi="Times New Roman"/>
          <w:color w:val="000000"/>
          <w:sz w:val="20"/>
          <w:u w:val="single"/>
        </w:rPr>
        <w:t>Transaction</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closing of the Transaction contemplated by the Merger Agreement will result in a change in the ownership or effective control of the Company within the meaning of Section 280G of the Internal Revenue Code of 1986, as amended (the “</w:t>
      </w:r>
      <w:r>
        <w:rPr>
          <w:rFonts w:ascii="Times New Roman" w:hAnsi="Times New Roman"/>
          <w:color w:val="000000"/>
          <w:sz w:val="20"/>
          <w:u w:val="single"/>
        </w:rPr>
        <w:t>Code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mutual agreements set forth herein and for other good and valuable consideration, including, without limitation, the execution by the Individual (on or about the date hereof) of that certain Restrictive Covenant Agreement by and between the Individual and the Company (the “</w:t>
      </w:r>
      <w:r>
        <w:rPr>
          <w:rFonts w:ascii="Times New Roman" w:hAnsi="Times New Roman"/>
          <w:color w:val="000000"/>
          <w:sz w:val="20"/>
          <w:u w:val="single"/>
        </w:rPr>
        <w:t>RCA</w:t>
      </w:r>
      <w:r>
        <w:rPr>
          <w:rFonts w:ascii="Times New Roman" w:hAnsi="Times New Roman"/>
          <w:color w:val="000000"/>
          <w:sz w:val="20"/>
        </w:rPr>
        <w:t>”), which RCA the Parties acknowledge is an essential inducement to this Agreement (among other things), the receipt and sufficiency of which are hereby acknowledged, the Parties hereby agree as follows: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280G Indemnification</w:t>
      </w:r>
      <w:r>
        <w:rPr>
          <w:rFonts w:ascii="Times New Roman" w:hAnsi="Times New Roman"/>
          <w:color w:val="000000"/>
          <w:sz w:val="20"/>
        </w:rPr>
        <w:t>.  Subject to the terms and conditions of this Agreement, if any of the payments or benefits provided or to be provided in connection with the Transaction to the Individual or for the Individual’s benefit pursuant to the terms of the Merger Agreement, the Executive Severance Policy or otherwise constitute excess parachute payments within the meaning of Section 280G of the Code and are subject to the excise tax imposed under Section 4999 of the Code (or any successor provision thereto, collectively, and together with any interest or penalties with respect to such excise tax, the “</w:t>
      </w:r>
      <w:r>
        <w:rPr>
          <w:rFonts w:ascii="Times New Roman" w:hAnsi="Times New Roman"/>
          <w:color w:val="000000"/>
          <w:sz w:val="20"/>
          <w:u w:val="single"/>
        </w:rPr>
        <w:t>Excise Tax</w:t>
      </w:r>
      <w:r>
        <w:rPr>
          <w:rFonts w:ascii="Times New Roman" w:hAnsi="Times New Roman"/>
          <w:color w:val="000000"/>
          <w:sz w:val="20"/>
        </w:rPr>
        <w:t xml:space="preserve">”), then the Company shall pay to or on behalf of the Individual (without duplication), no later than the time or times the Excise Tax is required to be withheld by the Company or its applicable affiliate (except as provided in Section 4) an amount equal to the sum of (a) the Excise Tax payable by the Individual, </w:t>
      </w:r>
      <w:r>
        <w:rPr>
          <w:rFonts w:ascii="Times New Roman" w:hAnsi="Times New Roman"/>
          <w:i/>
          <w:color w:val="000000"/>
          <w:sz w:val="20"/>
        </w:rPr>
        <w:t>plus</w:t>
      </w:r>
      <w:r>
        <w:rPr>
          <w:rFonts w:ascii="Times New Roman" w:hAnsi="Times New Roman"/>
          <w:color w:val="000000"/>
          <w:sz w:val="20"/>
        </w:rPr>
        <w:t xml:space="preserve"> (b) the amount necessary to put the Individual in the same after-tax position (taking into account any and all applicable federal, state, local and foreign income taxes, employment taxes and excise taxes (including the Excise Tax and any income and employment taxes imposed on the Gross-Up Payment)) that the Individual would have been in if the Individual had not incurred any tax liability under Section 4999 of the Code (the sum of (a) plus (b), a “</w:t>
      </w:r>
      <w:r>
        <w:rPr>
          <w:rFonts w:ascii="Times New Roman" w:hAnsi="Times New Roman"/>
          <w:color w:val="000000"/>
          <w:sz w:val="20"/>
          <w:u w:val="single"/>
        </w:rPr>
        <w:t>Gross-Up Payment</w:t>
      </w:r>
      <w:r>
        <w:rPr>
          <w:rFonts w:ascii="Times New Roman" w:hAnsi="Times New Roman"/>
          <w:color w:val="000000"/>
          <w:sz w:val="20"/>
        </w:rPr>
        <w:t>”); provided, that, the maximum amount of the Gross-Up Payment hereunder, when combined with the other Gross-Up Payments made pursuant to similar agreements entered into by the Company with those individuals named in Section 5.2(b)(v) of the Company Disclosure Schedule to the Merger Agreement under the heading “280G Gross Up Agreements” shall in no event exceed $12,500,000 (and, if such limit is exceeded, the amount payable hereunder and under such other agreements will be reduced pro-rata among the Individual and the other named individuals based upon each such individual’s respective gross-up entitlement (without giving effect to the reduction) until the $12,500,000 limitation is attained).  Notwithstanding any other provision of this Agreement, the Company may, in its sole discretion, withhold and pay over to the Internal Revenue Service or any other applicable taxing authority, for the benefit of the Individual, all or any portion of the Gross-Up Payment, and the Individual hereby consents to such withholding; provided, that, the Company shall provide the Individual with a calculation of such payment and written notice that such payment is being and has been made.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Determinations</w:t>
      </w:r>
      <w:r>
        <w:rPr>
          <w:rFonts w:ascii="Times New Roman" w:hAnsi="Times New Roman"/>
          <w:color w:val="000000"/>
          <w:sz w:val="20"/>
        </w:rPr>
        <w:t>.  All determinations required to be made under this Agreement, including whether and when a Gross-Up Payment is required, the amount of such Gross-Up Payment (subject to the Gross-Up Payment limit above) and the assumptions to be utilized in arriving at such determination shall be made by the Company, in good faith, in consultation with Golden Parachute Tax Solutions LLC and AbbVie.  The Company shall make available to the Individual as soon as practicable following the date hereof (and then updated if necessary)  a summary of the calculation of the Excise Tax and the Gross-Up Payment as determined under this Section 2.  All fees and expenses of Golden Parachute Tax Solutions LLC shall be borne solely by the Company.  Absent manifest error, all determinations made by the Company in accordance with this Agreement shall be final, binding and conclusive on the Individual, provided that the Individual is given a reasonable opportunity to review the accuracy of the information used in making the determination, and in no event will the Individual take any reporting position that is inconsistent with that of the reasonable reporting position of the Company with respect to the subject matter hereof (it being agreed that the Company will timely inform the Individual in writing of any applicable reporting position).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Continued Employment and Other Requirements</w:t>
      </w:r>
      <w:r>
        <w:rPr>
          <w:rFonts w:ascii="Times New Roman" w:hAnsi="Times New Roman"/>
          <w:color w:val="000000"/>
          <w:sz w:val="20"/>
        </w:rPr>
        <w:t>.  Notwithstanding anything herein to the contrary, the Company shall not have any obligation to pay any Gross-Up Payment to the Individual, and this Agreement shall be void, if the Individual’s employment with the Company is terminated by the Company for Cause (as defined in the Executive Severance Policy) at any time or if the Individual resigns from his or her employment with the Company prior to the closing of the Transaction, or if the Individual fails to comply in all material respects with this Agreement, including the execution by the Individual of the RCA (and the Company shall provide the Individual with written notice of any failure to comply and not less than 20 days to cure, if curable).  The Company agrees and acknowledges that it has no knowledge of any actions or inaction by the Individual that would be a basis for a Cause termination as of the date of this Agreement.  As a condition to receiving any Gross-Up Payment hereunder, the Individual also agrees to cooperate in good faith with respect to all mitigation actions requested by the Company, including with respect to the valuation of the noncompetition covenants contained in the RCA.  The Individual further acknowledges and agrees that the payments and benefits under this Agreement and the Executive Severance Policy would not be provided but for such noncompetition covenants in the RCA, which the Individual will reaffirm upon termination of employment in a release of claims as contemplated by the Executive Severance Policy.  The Company agrees and acknowledges that it shall provide a copy of any correspondence, including any information document request, that it receives from the Internal Revenue Service (the “</w:t>
      </w:r>
      <w:r>
        <w:rPr>
          <w:rFonts w:ascii="Times New Roman" w:hAnsi="Times New Roman"/>
          <w:color w:val="000000"/>
          <w:sz w:val="20"/>
          <w:u w:val="single"/>
        </w:rPr>
        <w:t>IRS</w:t>
      </w:r>
      <w:r>
        <w:rPr>
          <w:rFonts w:ascii="Times New Roman" w:hAnsi="Times New Roman"/>
          <w:color w:val="000000"/>
          <w:sz w:val="20"/>
        </w:rPr>
        <w:t>”) with respect to the Excise Tax and to confer with the Individual should the IRS assert that the Excise Tax obligation is greater than as determined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Overpayments; Underpayment</w:t>
      </w:r>
      <w:r>
        <w:rPr>
          <w:rFonts w:ascii="Times New Roman" w:hAnsi="Times New Roman"/>
          <w:color w:val="000000"/>
          <w:sz w:val="20"/>
        </w:rPr>
        <w:t>.  The Individual agrees that the Company, in its sole discretion, may require repayment by the Individual of any amount erroneously paid in excess of the amounts that should have been paid under the terms of this Agreement.  The Company agrees and acknowledges that it shall pay on behalf of the Individual an additional Gross-Up Payment to the Individual, plus any applicable interest or penalties, as required to reflect the amount that should have been paid under the terms of this Agreement in the event that there is a final determination of an underpayment; provided that, such incremental interest or penalties shall not be subject to the $12.5 million cap in Section 1 above.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5.      </w:t>
      </w:r>
      <w:r>
        <w:rPr>
          <w:rFonts w:ascii="Times New Roman" w:hAnsi="Times New Roman"/>
          <w:color w:val="000000"/>
          <w:sz w:val="20"/>
          <w:u w:val="single"/>
        </w:rPr>
        <w:t>Section 409A</w:t>
      </w:r>
      <w:r>
        <w:rPr>
          <w:rFonts w:ascii="Times New Roman" w:hAnsi="Times New Roman"/>
          <w:color w:val="000000"/>
          <w:sz w:val="20"/>
        </w:rPr>
        <w:t>.  This Agreement is intended to provide payments that are (i) exempt from the provisions of Section 409A of the Code and related regulations and Treasury pronouncements (“</w:t>
      </w:r>
      <w:r>
        <w:rPr>
          <w:rFonts w:ascii="Times New Roman" w:hAnsi="Times New Roman"/>
          <w:color w:val="000000"/>
          <w:sz w:val="20"/>
          <w:u w:val="single"/>
        </w:rPr>
        <w:t>Section 409A</w:t>
      </w:r>
      <w:r>
        <w:rPr>
          <w:rFonts w:ascii="Times New Roman" w:hAnsi="Times New Roman"/>
          <w:color w:val="000000"/>
          <w:sz w:val="20"/>
        </w:rPr>
        <w:t>”), or (ii) compliant with the provisions of Section 409A, and this Agreement shall be administered, interpreted and construed accordingly.  Notwithstanding any provision of this Agreement to the contrary, in the event that any provision of this Agreement is determined to conflict with the requirements of Section 409A, such provision shall be deemed reformed or shall be modified to comply with Section 409A, and the Company shall modify this Agreement to the extent necessary to comply with Section 409A. For purposes of Section 409A of the Code, in the event the Individual receives the Gross-Up Payment in installments, such installments shall be treated as a series of separate payments and each such installment shall be considered a separate and distinct payment.  The Company makes no representation that the payments described in this Agreement will be exempt from or comply with Section 409A and makes no undertaking to preclude Section 409A from applying to any such payment.  In no event whatsoever will the Company be liable for any additional tax, interest or penalty that may be imposed by Section 409A for failure to comply with Section 409A.</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6.      </w:t>
      </w:r>
      <w:r>
        <w:rPr>
          <w:rFonts w:ascii="Times New Roman" w:hAnsi="Times New Roman"/>
          <w:color w:val="000000"/>
          <w:sz w:val="20"/>
          <w:u w:val="single"/>
        </w:rPr>
        <w:t>No Right to Employment or Other Rights</w:t>
      </w:r>
      <w:r>
        <w:rPr>
          <w:rFonts w:ascii="Times New Roman" w:hAnsi="Times New Roman"/>
          <w:color w:val="000000"/>
          <w:sz w:val="20"/>
        </w:rPr>
        <w:t>.  Nothing in this Agreement shall be construed as giving the Individual the right to be retained in the employment of the Company or any of its affiliates, nor shall it affect the right of the Company or any of its affiliates to terminate the employment of the Individual.  Payments under this Agreement will not be taken into account for purposes of any benefits or compensation provided by the Company or any of its affiliates to the Individual.  In no event shall the Company or any of its affiliates have any liability under this Agreement, other than the obligation to pay the Gross-Up Payment in accordance with the terms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7.     </w:t>
      </w:r>
      <w:r>
        <w:rPr>
          <w:rFonts w:ascii="Times New Roman" w:hAnsi="Times New Roman"/>
          <w:color w:val="000000"/>
          <w:sz w:val="20"/>
          <w:u w:val="single"/>
        </w:rPr>
        <w:t>Assignment; Non-Transferability</w:t>
      </w:r>
      <w:r>
        <w:rPr>
          <w:rFonts w:ascii="Times New Roman" w:hAnsi="Times New Roman"/>
          <w:color w:val="000000"/>
          <w:sz w:val="20"/>
        </w:rPr>
        <w:t>.  No right of the Individual to any payment under this Agreement shall be subject to assignment, anticipation, alienation, sale, transfer, pledge, encumbrance, attachment, or garnishment by creditors of the Individual or of any beneficiary of the Individual, other than pursuant to the laws of descent and distribution and any amounts otherwise owed to the Individual shall be paid to the Individual’s estate in the event of the Individual’s death.  The terms and conditions of this Agreement shall be binding on the successors and assigns of the Company.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8.     </w:t>
      </w:r>
      <w:r>
        <w:rPr>
          <w:rFonts w:ascii="Times New Roman" w:hAnsi="Times New Roman"/>
          <w:color w:val="000000"/>
          <w:sz w:val="20"/>
          <w:u w:val="single"/>
        </w:rPr>
        <w:t>No Impact on Other Compensation</w:t>
      </w:r>
      <w:r>
        <w:rPr>
          <w:rFonts w:ascii="Times New Roman" w:hAnsi="Times New Roman"/>
          <w:color w:val="000000"/>
          <w:sz w:val="20"/>
        </w:rPr>
        <w:t>.  All payments made under this Agreement are independent of all other compensation and will not be taken into account in the calculation of the Individual’s severance entitlements or for any other compensation or benefits purposes.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9.    </w:t>
      </w:r>
      <w:r>
        <w:rPr>
          <w:rFonts w:ascii="Times New Roman" w:hAnsi="Times New Roman"/>
          <w:color w:val="000000"/>
          <w:sz w:val="20"/>
          <w:u w:val="single"/>
        </w:rPr>
        <w:t>Entire Agreement; Amendment; Termination</w:t>
      </w:r>
      <w:r>
        <w:rPr>
          <w:rFonts w:ascii="Times New Roman" w:hAnsi="Times New Roman"/>
          <w:color w:val="000000"/>
          <w:sz w:val="20"/>
        </w:rPr>
        <w:t xml:space="preserve">.  This Agreement sets forth the final and entire agreement of the Parties with respect to the subject matter hereof and supersedes all prior agreements, promises, covenants, arrangements, communications, representations or warranties, whether oral or written, by the Company or its affiliates and the Individual, or any representative of the Company or its affiliates or the Individual, with respect to the subject matter hereof (other than the RCA).  This Agreement shall not be amended, modified or supplemented in any manner whatsoever except by mutual written agreement of the Parties.  In the event the Merger Agreement is terminated prior to the consummation of the Transaction, this Agreement shall automatically and without further action terminate and be null and void </w:t>
      </w:r>
      <w:r>
        <w:rPr>
          <w:rFonts w:ascii="Times New Roman" w:hAnsi="Times New Roman"/>
          <w:i/>
          <w:color w:val="000000"/>
          <w:sz w:val="20"/>
        </w:rPr>
        <w:t>ab initio</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color w:val="000000"/>
          <w:sz w:val="20"/>
          <w:u w:val="single"/>
        </w:rPr>
        <w:t>Governing Law</w:t>
      </w:r>
      <w:r>
        <w:rPr>
          <w:rFonts w:ascii="Times New Roman" w:hAnsi="Times New Roman"/>
          <w:color w:val="000000"/>
          <w:sz w:val="20"/>
        </w:rPr>
        <w:t>.  This Agreement and the performance hereof shall be construed and governed in accordance with laws of the State of Delaware, without regard to the conflict of laws provisions thereof, and the Parties submit to the non-exclusive jurisdiction of the state and federal courts having subject matter jurisdiction within the State of Delaware.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11.   </w:t>
      </w:r>
      <w:r>
        <w:rPr>
          <w:rFonts w:ascii="Times New Roman" w:hAnsi="Times New Roman"/>
          <w:color w:val="000000"/>
          <w:sz w:val="20"/>
          <w:u w:val="single"/>
        </w:rPr>
        <w:t>Counterparts</w:t>
      </w:r>
      <w:r>
        <w:rPr>
          <w:rFonts w:ascii="Times New Roman" w:hAnsi="Times New Roman"/>
          <w:color w:val="000000"/>
          <w:sz w:val="20"/>
        </w:rPr>
        <w:t>.  This Agreement may be executed in one or more counterparts, each of which shall be deemed to be an original, but all of which together will constitute one and the same instrument.</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Pages Follow</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IN WITNESS WHEREOF, the Parties have executed this Agreement effective as of the Effective Date written above.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964e504b7e984b5cb5bb589087522250"/>
      <w:bookmarkStart w:id="13" w:name="z964e504b7e984b5cb5bb589087522250"/>
      <w:bookmarkEnd w:id="13"/>
    </w:p>
    <w:tbl>
      <w:tblPr>
        <w:tblW w:w="2194" w:type="dxa"/>
        <w:jc w:val="left"/>
        <w:tblInd w:w="0" w:type="dxa"/>
        <w:tblLayout w:type="fixed"/>
        <w:tblCellMar>
          <w:top w:w="0" w:type="dxa"/>
          <w:left w:w="0" w:type="dxa"/>
          <w:bottom w:w="0" w:type="dxa"/>
          <w:right w:w="0" w:type="dxa"/>
        </w:tblCellMar>
      </w:tblPr>
      <w:tblGrid>
        <w:gridCol w:w="60"/>
        <w:gridCol w:w="1459"/>
        <w:gridCol w:w="337"/>
        <w:gridCol w:w="338"/>
      </w:tblGrid>
      <w:tr>
        <w:trPr/>
        <w:tc>
          <w:tcPr>
            <w:tcW w:w="60" w:type="dxa"/>
            <w:tcBorders/>
            <w:vAlign w:val="center"/>
          </w:tcPr>
          <w:p>
            <w:pPr>
              <w:pStyle w:val="TableContents"/>
              <w:bidi w:val="0"/>
              <w:spacing w:before="0" w:after="283"/>
              <w:jc w:val="left"/>
              <w:rPr/>
            </w:pPr>
            <w:r>
              <w:rPr/>
              <w:t> </w:t>
            </w:r>
          </w:p>
        </w:tc>
        <w:tc>
          <w:tcPr>
            <w:tcW w:w="2134" w:type="dxa"/>
            <w:gridSpan w:val="3"/>
            <w:tcBorders/>
            <w:vAlign w:val="center"/>
          </w:tcPr>
          <w:p>
            <w:pPr>
              <w:pStyle w:val="TableContents"/>
              <w:bidi w:val="0"/>
              <w:spacing w:before="0" w:after="0"/>
              <w:jc w:val="both"/>
              <w:rPr>
                <w:rFonts w:ascii="Times New Roman" w:hAnsi="Times New Roman"/>
                <w:sz w:val="20"/>
              </w:rPr>
            </w:pPr>
            <w:r>
              <w:rPr>
                <w:rFonts w:ascii="Times New Roman" w:hAnsi="Times New Roman"/>
                <w:sz w:val="20"/>
              </w:rPr>
              <w:t>Apogee Therapeutics, Inc.</w:t>
            </w:r>
          </w:p>
        </w:tc>
      </w:tr>
      <w:tr>
        <w:trPr/>
        <w:tc>
          <w:tcPr>
            <w:tcW w:w="60" w:type="dxa"/>
            <w:tcBorders/>
            <w:vAlign w:val="center"/>
          </w:tcPr>
          <w:p>
            <w:pPr>
              <w:pStyle w:val="TableContents"/>
              <w:bidi w:val="0"/>
              <w:spacing w:before="0" w:after="283"/>
              <w:jc w:val="left"/>
              <w:rPr/>
            </w:pPr>
            <w:r>
              <w:rPr/>
              <w:t> </w:t>
            </w:r>
          </w:p>
        </w:tc>
        <w:tc>
          <w:tcPr>
            <w:tcW w:w="1459" w:type="dxa"/>
            <w:tcBorders/>
            <w:vAlign w:val="center"/>
          </w:tcPr>
          <w:p>
            <w:pPr>
              <w:pStyle w:val="TableContents"/>
              <w:bidi w:val="0"/>
              <w:spacing w:before="0" w:after="283"/>
              <w:jc w:val="left"/>
              <w:rPr/>
            </w:pPr>
            <w:r>
              <w:rPr/>
              <w:t> </w:t>
            </w:r>
          </w:p>
        </w:tc>
        <w:tc>
          <w:tcPr>
            <w:tcW w:w="67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337" w:type="dxa"/>
            <w:tcBorders>
              <w:bottom w:val="single" w:sz="12" w:space="0" w:color="000000"/>
            </w:tcBorders>
            <w:tcMar>
              <w:bottom w:w="28" w:type="dxa"/>
            </w:tcMar>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59" w:type="dxa"/>
            <w:tcBorders/>
            <w:vAlign w:val="center"/>
          </w:tcPr>
          <w:p>
            <w:pPr>
              <w:pStyle w:val="TableContents"/>
              <w:bidi w:val="0"/>
              <w:spacing w:before="0" w:after="283"/>
              <w:jc w:val="left"/>
              <w:rPr/>
            </w:pPr>
            <w:r>
              <w:rPr/>
              <w:t> </w:t>
            </w:r>
          </w:p>
        </w:tc>
        <w:tc>
          <w:tcPr>
            <w:tcW w:w="675" w:type="dxa"/>
            <w:gridSpan w:val="2"/>
            <w:tcBorders/>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Name:</w:t>
            </w:r>
          </w:p>
        </w:tc>
      </w:tr>
      <w:tr>
        <w:trPr/>
        <w:tc>
          <w:tcPr>
            <w:tcW w:w="60" w:type="dxa"/>
            <w:tcBorders/>
            <w:vAlign w:val="center"/>
          </w:tcPr>
          <w:p>
            <w:pPr>
              <w:pStyle w:val="TableContents"/>
              <w:bidi w:val="0"/>
              <w:spacing w:before="0" w:after="283"/>
              <w:jc w:val="left"/>
              <w:rPr/>
            </w:pPr>
            <w:r>
              <w:rPr/>
              <w:t> </w:t>
            </w:r>
          </w:p>
        </w:tc>
        <w:tc>
          <w:tcPr>
            <w:tcW w:w="1459" w:type="dxa"/>
            <w:tcBorders/>
            <w:vAlign w:val="center"/>
          </w:tcPr>
          <w:p>
            <w:pPr>
              <w:pStyle w:val="TableContents"/>
              <w:bidi w:val="0"/>
              <w:spacing w:before="0" w:after="283"/>
              <w:jc w:val="left"/>
              <w:rPr/>
            </w:pPr>
            <w:r>
              <w:rPr/>
              <w:t> </w:t>
            </w:r>
          </w:p>
        </w:tc>
        <w:tc>
          <w:tcPr>
            <w:tcW w:w="675" w:type="dxa"/>
            <w:gridSpan w:val="2"/>
            <w:tcBorders/>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Countersignature Page Follows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tbl>
      <w:tblPr>
        <w:tblW w:w="1430" w:type="dxa"/>
        <w:jc w:val="left"/>
        <w:tblInd w:w="0" w:type="dxa"/>
        <w:tblLayout w:type="fixed"/>
        <w:tblCellMar>
          <w:top w:w="0" w:type="dxa"/>
          <w:left w:w="0" w:type="dxa"/>
          <w:bottom w:w="0" w:type="dxa"/>
          <w:right w:w="0" w:type="dxa"/>
        </w:tblCellMar>
      </w:tblPr>
      <w:tblGrid>
        <w:gridCol w:w="60"/>
        <w:gridCol w:w="1162"/>
        <w:gridCol w:w="88"/>
        <w:gridCol w:w="60"/>
        <w:gridCol w:w="60"/>
      </w:tblGrid>
      <w:tr>
        <w:trPr/>
        <w:tc>
          <w:tcPr>
            <w:tcW w:w="60"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[Name]</w:t>
            </w:r>
          </w:p>
        </w:tc>
        <w:tc>
          <w:tcPr>
            <w:tcW w:w="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6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xml:space="preserve">Address:  </w:t>
            </w:r>
          </w:p>
        </w:tc>
        <w:tc>
          <w:tcPr>
            <w:tcW w:w="88"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6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6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Email Address:</w:t>
            </w:r>
          </w:p>
        </w:tc>
        <w:tc>
          <w:tcPr>
            <w:tcW w:w="6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74640/000114036126025844/ef20076505_ex2-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11459</Words>
  <Characters>58377</Characters>
  <CharactersWithSpaces>70363</CharactersWithSpaces>
  <Paragraphs>594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