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66675</wp:posOffset>
            </wp:positionV>
            <wp:extent cx="1800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107950</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9" w:lineRule="exact"/>
        <w:rPr>
          <w:sz w:val="24"/>
          <w:szCs w:val="24"/>
          <w:color w:val="auto"/>
        </w:rPr>
      </w:pPr>
    </w:p>
    <w:p>
      <w:pPr>
        <w:ind w:left="2100" w:hanging="289"/>
        <w:spacing w:after="0"/>
        <w:tabs>
          <w:tab w:leader="none" w:pos="21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9" w:lineRule="exact"/>
        <w:rPr>
          <w:sz w:val="24"/>
          <w:szCs w:val="24"/>
          <w:color w:val="auto"/>
        </w:rPr>
      </w:pPr>
    </w:p>
    <w:p>
      <w:pPr>
        <w:ind w:left="2100" w:hanging="285"/>
        <w:spacing w:after="0"/>
        <w:tabs>
          <w:tab w:leader="none" w:pos="21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9" w:lineRule="exact"/>
        <w:rPr>
          <w:sz w:val="24"/>
          <w:szCs w:val="24"/>
          <w:color w:val="auto"/>
        </w:rPr>
      </w:pPr>
    </w:p>
    <w:p>
      <w:pPr>
        <w:ind w:left="4460"/>
        <w:spacing w:after="0"/>
        <w:tabs>
          <w:tab w:leader="none" w:pos="6520" w:val="left"/>
        </w:tabs>
        <w:rPr>
          <w:sz w:val="20"/>
          <w:szCs w:val="20"/>
          <w:color w:val="auto"/>
        </w:rPr>
      </w:pPr>
      <w:r>
        <w:rPr>
          <w:rFonts w:ascii="Times New Roman" w:cs="Times New Roman" w:eastAsia="Times New Roman" w:hAnsi="Times New Roman"/>
          <w:sz w:val="14"/>
          <w:szCs w:val="14"/>
          <w:b w:val="1"/>
          <w:bCs w:val="1"/>
          <w:color w:val="auto"/>
        </w:rPr>
        <w:t>For the transition period from</w:t>
        <w:tab/>
        <w:t>to</w:t>
      </w:r>
    </w:p>
    <w:p>
      <w:pPr>
        <w:spacing w:after="0" w:line="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Commission File Number: 001-41740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47625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89" w:lineRule="exact"/>
        <w:rPr>
          <w:sz w:val="24"/>
          <w:szCs w:val="24"/>
          <w:color w:val="auto"/>
        </w:rPr>
      </w:pPr>
    </w:p>
    <w:tbl>
      <w:tblPr>
        <w:tblLayout w:type="fixed"/>
        <w:tblInd w:w="2120" w:type="dxa"/>
        <w:tblCellMar>
          <w:top w:w="0" w:type="dxa"/>
          <w:left w:w="0" w:type="dxa"/>
          <w:bottom w:w="0" w:type="dxa"/>
          <w:right w:w="0" w:type="dxa"/>
        </w:tblCellMar>
      </w:tblPr>
      <w:tr>
        <w:trPr>
          <w:trHeight w:val="396"/>
        </w:trPr>
        <w:tc>
          <w:tcPr>
            <w:tcW w:w="1540" w:type="dxa"/>
            <w:vAlign w:val="bottom"/>
          </w:tcPr>
          <w:p>
            <w:pPr>
              <w:spacing w:after="0"/>
              <w:rPr>
                <w:sz w:val="24"/>
                <w:szCs w:val="24"/>
                <w:color w:val="auto"/>
              </w:rPr>
            </w:pPr>
          </w:p>
        </w:tc>
        <w:tc>
          <w:tcPr>
            <w:tcW w:w="5300" w:type="dxa"/>
            <w:vAlign w:val="bottom"/>
            <w:gridSpan w:val="3"/>
          </w:tcPr>
          <w:p>
            <w:pPr>
              <w:jc w:val="center"/>
              <w:ind w:right="1306"/>
              <w:spacing w:after="0"/>
              <w:rPr>
                <w:sz w:val="20"/>
                <w:szCs w:val="20"/>
                <w:color w:val="auto"/>
              </w:rPr>
            </w:pPr>
            <w:r>
              <w:rPr>
                <w:rFonts w:ascii="Times New Roman" w:cs="Times New Roman" w:eastAsia="Times New Roman" w:hAnsi="Times New Roman"/>
                <w:sz w:val="32"/>
                <w:szCs w:val="32"/>
                <w:b w:val="1"/>
                <w:bCs w:val="1"/>
                <w:color w:val="auto"/>
              </w:rPr>
              <w:t>Apogee Therapeutics, Inc.</w:t>
            </w:r>
          </w:p>
        </w:tc>
      </w:tr>
      <w:tr>
        <w:trPr>
          <w:trHeight w:val="142"/>
        </w:trPr>
        <w:tc>
          <w:tcPr>
            <w:tcW w:w="1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760" w:type="dxa"/>
            <w:vAlign w:val="bottom"/>
            <w:gridSpan w:val="2"/>
          </w:tcPr>
          <w:p>
            <w:pPr>
              <w:jc w:val="center"/>
              <w:ind w:right="1846"/>
              <w:spacing w:after="0"/>
              <w:rPr>
                <w:sz w:val="20"/>
                <w:szCs w:val="20"/>
                <w:color w:val="auto"/>
              </w:rPr>
            </w:pPr>
            <w:r>
              <w:rPr>
                <w:rFonts w:ascii="Times New Roman" w:cs="Times New Roman" w:eastAsia="Times New Roman" w:hAnsi="Times New Roman"/>
                <w:sz w:val="11"/>
                <w:szCs w:val="11"/>
                <w:b w:val="1"/>
                <w:bCs w:val="1"/>
                <w:color w:val="auto"/>
                <w:w w:val="97"/>
              </w:rPr>
              <w:t>(Exact name of registrant as specified in its charter)</w:t>
            </w:r>
          </w:p>
        </w:tc>
      </w:tr>
      <w:tr>
        <w:trPr>
          <w:trHeight w:val="76"/>
        </w:trPr>
        <w:tc>
          <w:tcPr>
            <w:tcW w:w="1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920" w:type="dxa"/>
            <w:vAlign w:val="bottom"/>
          </w:tcPr>
          <w:p>
            <w:pPr>
              <w:spacing w:after="0"/>
              <w:rPr>
                <w:sz w:val="6"/>
                <w:szCs w:val="6"/>
                <w:color w:val="auto"/>
              </w:rPr>
            </w:pPr>
          </w:p>
        </w:tc>
      </w:tr>
      <w:tr>
        <w:trPr>
          <w:trHeight w:val="248"/>
        </w:trPr>
        <w:tc>
          <w:tcPr>
            <w:tcW w:w="154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5300" w:type="dxa"/>
            <w:vAlign w:val="bottom"/>
            <w:gridSpan w:val="3"/>
          </w:tcPr>
          <w:p>
            <w:pPr>
              <w:jc w:val="center"/>
              <w:ind w:left="4152"/>
              <w:spacing w:after="0"/>
              <w:rPr>
                <w:sz w:val="20"/>
                <w:szCs w:val="20"/>
                <w:color w:val="auto"/>
              </w:rPr>
            </w:pPr>
            <w:r>
              <w:rPr>
                <w:rFonts w:ascii="Times New Roman" w:cs="Times New Roman" w:eastAsia="Times New Roman" w:hAnsi="Times New Roman"/>
                <w:sz w:val="11"/>
                <w:szCs w:val="11"/>
                <w:b w:val="1"/>
                <w:bCs w:val="1"/>
                <w:color w:val="auto"/>
                <w:w w:val="97"/>
              </w:rPr>
              <w:t>93-4958665</w:t>
            </w:r>
          </w:p>
        </w:tc>
      </w:tr>
      <w:tr>
        <w:trPr>
          <w:trHeight w:val="122"/>
        </w:trPr>
        <w:tc>
          <w:tcPr>
            <w:tcW w:w="154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5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920" w:type="dxa"/>
            <w:vAlign w:val="bottom"/>
          </w:tcPr>
          <w:p>
            <w:pPr>
              <w:jc w:val="center"/>
              <w:ind w:left="806"/>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154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5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920" w:type="dxa"/>
            <w:vAlign w:val="bottom"/>
          </w:tcPr>
          <w:p>
            <w:pPr>
              <w:jc w:val="center"/>
              <w:ind w:left="806"/>
              <w:spacing w:after="0"/>
              <w:rPr>
                <w:sz w:val="20"/>
                <w:szCs w:val="20"/>
                <w:color w:val="auto"/>
              </w:rPr>
            </w:pPr>
            <w:r>
              <w:rPr>
                <w:rFonts w:ascii="Times New Roman" w:cs="Times New Roman" w:eastAsia="Times New Roman" w:hAnsi="Times New Roman"/>
                <w:sz w:val="11"/>
                <w:szCs w:val="11"/>
                <w:b w:val="1"/>
                <w:bCs w:val="1"/>
                <w:color w:val="auto"/>
                <w:w w:val="97"/>
              </w:rPr>
              <w:t>Identification Number)</w:t>
            </w:r>
          </w:p>
        </w:tc>
      </w:tr>
      <w:tr>
        <w:trPr>
          <w:trHeight w:val="240"/>
        </w:trPr>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60" w:type="dxa"/>
            <w:vAlign w:val="bottom"/>
            <w:gridSpan w:val="2"/>
          </w:tcPr>
          <w:p>
            <w:pPr>
              <w:jc w:val="center"/>
              <w:ind w:right="1866"/>
              <w:spacing w:after="0"/>
              <w:rPr>
                <w:sz w:val="20"/>
                <w:szCs w:val="20"/>
                <w:color w:val="auto"/>
              </w:rPr>
            </w:pPr>
            <w:r>
              <w:rPr>
                <w:rFonts w:ascii="Times New Roman" w:cs="Times New Roman" w:eastAsia="Times New Roman" w:hAnsi="Times New Roman"/>
                <w:sz w:val="14"/>
                <w:szCs w:val="14"/>
                <w:b w:val="1"/>
                <w:bCs w:val="1"/>
                <w:color w:val="auto"/>
              </w:rPr>
              <w:t>221 Crescent St., Building 17, Suite 102b</w:t>
            </w:r>
          </w:p>
        </w:tc>
      </w:tr>
      <w:tr>
        <w:trPr>
          <w:trHeight w:val="146"/>
        </w:trPr>
        <w:tc>
          <w:tcPr>
            <w:tcW w:w="1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760" w:type="dxa"/>
            <w:vAlign w:val="bottom"/>
            <w:gridSpan w:val="2"/>
          </w:tcPr>
          <w:p>
            <w:pPr>
              <w:jc w:val="center"/>
              <w:ind w:right="1866"/>
              <w:spacing w:after="0" w:line="146" w:lineRule="exact"/>
              <w:rPr>
                <w:sz w:val="20"/>
                <w:szCs w:val="20"/>
                <w:color w:val="auto"/>
              </w:rPr>
            </w:pPr>
            <w:r>
              <w:rPr>
                <w:rFonts w:ascii="Times New Roman" w:cs="Times New Roman" w:eastAsia="Times New Roman" w:hAnsi="Times New Roman"/>
                <w:sz w:val="14"/>
                <w:szCs w:val="14"/>
                <w:b w:val="1"/>
                <w:bCs w:val="1"/>
                <w:color w:val="auto"/>
              </w:rPr>
              <w:t>Waltham, MA 02453</w:t>
            </w:r>
          </w:p>
        </w:tc>
      </w:tr>
      <w:tr>
        <w:trPr>
          <w:trHeight w:val="242"/>
        </w:trPr>
        <w:tc>
          <w:tcPr>
            <w:tcW w:w="1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760" w:type="dxa"/>
            <w:vAlign w:val="bottom"/>
            <w:gridSpan w:val="2"/>
          </w:tcPr>
          <w:p>
            <w:pPr>
              <w:jc w:val="center"/>
              <w:ind w:right="1846"/>
              <w:spacing w:after="0" w:line="161" w:lineRule="exact"/>
              <w:rPr>
                <w:sz w:val="20"/>
                <w:szCs w:val="20"/>
                <w:color w:val="auto"/>
              </w:rPr>
            </w:pPr>
            <w:r>
              <w:rPr>
                <w:rFonts w:ascii="Times New Roman" w:cs="Times New Roman" w:eastAsia="Times New Roman" w:hAnsi="Times New Roman"/>
                <w:sz w:val="14"/>
                <w:szCs w:val="14"/>
                <w:b w:val="1"/>
                <w:bCs w:val="1"/>
                <w:color w:val="auto"/>
              </w:rPr>
              <w:t>(650) 394</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5230</w:t>
            </w:r>
          </w:p>
        </w:tc>
      </w:tr>
    </w:tbl>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66675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Exchange Act:</w:t>
            </w:r>
          </w:p>
        </w:tc>
        <w:tc>
          <w:tcPr>
            <w:tcW w:w="3440" w:type="dxa"/>
            <w:vAlign w:val="bottom"/>
          </w:tcPr>
          <w:p>
            <w:pPr>
              <w:spacing w:after="0"/>
              <w:rPr>
                <w:sz w:val="16"/>
                <w:szCs w:val="16"/>
                <w:color w:val="auto"/>
              </w:rPr>
            </w:pPr>
          </w:p>
        </w:tc>
      </w:tr>
      <w:tr>
        <w:trPr>
          <w:trHeight w:val="121"/>
        </w:trPr>
        <w:tc>
          <w:tcPr>
            <w:tcW w:w="34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155"/>
        </w:trPr>
        <w:tc>
          <w:tcPr>
            <w:tcW w:w="3420" w:type="dxa"/>
            <w:vAlign w:val="bottom"/>
            <w:tcBorders>
              <w:left w:val="single" w:sz="8" w:color="auto"/>
              <w:bottom w:val="single" w:sz="8" w:color="auto"/>
            </w:tcBorders>
          </w:tcPr>
          <w:p>
            <w:pPr>
              <w:jc w:val="center"/>
              <w:ind w:left="468"/>
              <w:spacing w:after="0" w:line="136"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540" w:type="dxa"/>
            <w:vAlign w:val="bottom"/>
            <w:tcBorders>
              <w:bottom w:val="single" w:sz="8" w:color="auto"/>
              <w:right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Trading Symbol(s)</w:t>
            </w:r>
          </w:p>
        </w:tc>
        <w:tc>
          <w:tcPr>
            <w:tcW w:w="3440" w:type="dxa"/>
            <w:vAlign w:val="bottom"/>
            <w:tcBorders>
              <w:bottom w:val="single" w:sz="8" w:color="auto"/>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25"/>
        </w:trPr>
        <w:tc>
          <w:tcPr>
            <w:tcW w:w="3420" w:type="dxa"/>
            <w:vAlign w:val="bottom"/>
            <w:tcBorders>
              <w:left w:val="single" w:sz="8" w:color="auto"/>
              <w:bottom w:val="single" w:sz="8" w:color="auto"/>
            </w:tcBorders>
          </w:tcPr>
          <w:p>
            <w:pPr>
              <w:jc w:val="center"/>
              <w:ind w:left="468"/>
              <w:spacing w:after="0" w:line="125" w:lineRule="exact"/>
              <w:rPr>
                <w:sz w:val="20"/>
                <w:szCs w:val="20"/>
                <w:color w:val="auto"/>
              </w:rPr>
            </w:pPr>
            <w:r>
              <w:rPr>
                <w:rFonts w:ascii="Times New Roman" w:cs="Times New Roman" w:eastAsia="Times New Roman" w:hAnsi="Times New Roman"/>
                <w:sz w:val="14"/>
                <w:szCs w:val="14"/>
                <w:color w:val="auto"/>
              </w:rPr>
              <w:t>Common Stock, par value $0.00001 per share</w:t>
            </w:r>
          </w:p>
        </w:tc>
        <w:tc>
          <w:tcPr>
            <w:tcW w:w="540" w:type="dxa"/>
            <w:vAlign w:val="bottom"/>
            <w:tcBorders>
              <w:bottom w:val="single" w:sz="8" w:color="auto"/>
              <w:right w:val="single" w:sz="8" w:color="auto"/>
            </w:tcBorders>
          </w:tcPr>
          <w:p>
            <w:pPr>
              <w:spacing w:after="0"/>
              <w:rPr>
                <w:sz w:val="10"/>
                <w:szCs w:val="10"/>
                <w:color w:val="auto"/>
              </w:rPr>
            </w:pPr>
          </w:p>
        </w:tc>
        <w:tc>
          <w:tcPr>
            <w:tcW w:w="384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APGE</w:t>
            </w:r>
          </w:p>
        </w:tc>
        <w:tc>
          <w:tcPr>
            <w:tcW w:w="344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99"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00" w:firstLine="509"/>
        <w:spacing w:after="0" w:line="186"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508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520"/>
        <w:spacing w:after="0" w:line="161" w:lineRule="exact"/>
        <w:tabs>
          <w:tab w:leader="none" w:pos="76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40" w:lineRule="exact"/>
        <w:rPr>
          <w:sz w:val="24"/>
          <w:szCs w:val="24"/>
          <w:color w:val="auto"/>
        </w:rPr>
      </w:pPr>
    </w:p>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As of May 4, 2026, the registrant had 75,389,375 shares of common stock, $0.00001 par value per share, outstanding, comprising 61,902,733 shares of voting common stock, $0.00001 par value per share, and 13,486,642 shares of non-voting 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94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9400" w:type="dxa"/>
            <w:vAlign w:val="bottom"/>
            <w:gridSpan w:val="17"/>
            <w:vMerge w:val="continue"/>
          </w:tcPr>
          <w:p>
            <w:pPr>
              <w:spacing w:after="0"/>
              <w:rPr>
                <w:sz w:val="14"/>
                <w:szCs w:val="14"/>
                <w:color w:val="auto"/>
              </w:rPr>
            </w:pPr>
          </w:p>
        </w:tc>
        <w:tc>
          <w:tcPr>
            <w:tcW w:w="520" w:type="dxa"/>
            <w:vAlign w:val="bottom"/>
            <w:gridSpan w:val="4"/>
          </w:tcPr>
          <w:p>
            <w:pPr>
              <w:jc w:val="center"/>
              <w:ind w:left="231"/>
              <w:spacing w:after="0" w:line="169" w:lineRule="exact"/>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520" w:type="dxa"/>
            <w:vAlign w:val="bottom"/>
            <w:gridSpan w:val="4"/>
          </w:tcPr>
          <w:p>
            <w:pPr>
              <w:jc w:val="center"/>
              <w:ind w:left="231"/>
              <w:spacing w:after="0" w:line="196" w:lineRule="exact"/>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520" w:type="dxa"/>
            <w:vAlign w:val="bottom"/>
            <w:gridSpan w:val="4"/>
          </w:tcPr>
          <w:p>
            <w:pPr>
              <w:jc w:val="center"/>
              <w:ind w:left="231"/>
              <w:spacing w:after="0" w:line="196" w:lineRule="exact"/>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6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 of Operations for the Three Months Ended March 31, 2026 and 2025</w:t>
            </w:r>
          </w:p>
        </w:tc>
        <w:tc>
          <w:tcPr>
            <w:tcW w:w="1800" w:type="dxa"/>
            <w:vAlign w:val="bottom"/>
            <w:gridSpan w:val="3"/>
          </w:tcPr>
          <w:p>
            <w:pPr>
              <w:spacing w:after="0"/>
              <w:rPr>
                <w:sz w:val="17"/>
                <w:szCs w:val="17"/>
                <w:color w:val="auto"/>
              </w:rPr>
            </w:pPr>
          </w:p>
        </w:tc>
        <w:tc>
          <w:tcPr>
            <w:tcW w:w="520" w:type="dxa"/>
            <w:vAlign w:val="bottom"/>
            <w:gridSpan w:val="4"/>
          </w:tcPr>
          <w:p>
            <w:pPr>
              <w:jc w:val="center"/>
              <w:ind w:left="231"/>
              <w:spacing w:after="0" w:line="196" w:lineRule="exact"/>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Comprehensive Loss for the Three Months Ended March 31, 2026 and 2025</w:t>
            </w:r>
          </w:p>
        </w:tc>
        <w:tc>
          <w:tcPr>
            <w:tcW w:w="520" w:type="dxa"/>
            <w:vAlign w:val="bottom"/>
            <w:gridSpan w:val="4"/>
          </w:tcPr>
          <w:p>
            <w:pPr>
              <w:jc w:val="center"/>
              <w:ind w:left="231"/>
              <w:spacing w:after="0" w:line="19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 of Stockholders’ Equity for the Three Months Ended March 31, 2026 and 2025</w:t>
            </w:r>
          </w:p>
        </w:tc>
        <w:tc>
          <w:tcPr>
            <w:tcW w:w="1080" w:type="dxa"/>
            <w:vAlign w:val="bottom"/>
          </w:tcPr>
          <w:p>
            <w:pPr>
              <w:spacing w:after="0"/>
              <w:rPr>
                <w:sz w:val="17"/>
                <w:szCs w:val="17"/>
                <w:color w:val="auto"/>
              </w:rPr>
            </w:pPr>
          </w:p>
        </w:tc>
        <w:tc>
          <w:tcPr>
            <w:tcW w:w="520" w:type="dxa"/>
            <w:vAlign w:val="bottom"/>
            <w:gridSpan w:val="4"/>
          </w:tcPr>
          <w:p>
            <w:pPr>
              <w:jc w:val="center"/>
              <w:ind w:left="231"/>
              <w:spacing w:after="0" w:line="196" w:lineRule="exact"/>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6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 of Cash Flows for the Three Months Ended March 31, 2026 and 2025</w:t>
            </w: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gridSpan w:val="4"/>
          </w:tcPr>
          <w:p>
            <w:pPr>
              <w:jc w:val="center"/>
              <w:ind w:left="231"/>
              <w:spacing w:after="0" w:line="196" w:lineRule="exact"/>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Unaudited Interim Condensed Consolidated Financial Statements</w:t>
            </w:r>
          </w:p>
        </w:tc>
        <w:tc>
          <w:tcPr>
            <w:tcW w:w="1980" w:type="dxa"/>
            <w:vAlign w:val="bottom"/>
            <w:gridSpan w:val="4"/>
          </w:tcPr>
          <w:p>
            <w:pPr>
              <w:spacing w:after="0"/>
              <w:rPr>
                <w:sz w:val="17"/>
                <w:szCs w:val="17"/>
                <w:color w:val="auto"/>
              </w:rPr>
            </w:pPr>
          </w:p>
        </w:tc>
        <w:tc>
          <w:tcPr>
            <w:tcW w:w="1760" w:type="dxa"/>
            <w:vAlign w:val="bottom"/>
            <w:gridSpan w:val="2"/>
          </w:tcPr>
          <w:p>
            <w:pPr>
              <w:spacing w:after="0"/>
              <w:rPr>
                <w:sz w:val="17"/>
                <w:szCs w:val="17"/>
                <w:color w:val="auto"/>
              </w:rPr>
            </w:pPr>
          </w:p>
        </w:tc>
        <w:tc>
          <w:tcPr>
            <w:tcW w:w="520" w:type="dxa"/>
            <w:vAlign w:val="bottom"/>
            <w:gridSpan w:val="4"/>
          </w:tcPr>
          <w:p>
            <w:pPr>
              <w:jc w:val="center"/>
              <w:ind w:left="231"/>
              <w:spacing w:after="0" w:line="196" w:lineRule="exact"/>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20" w:type="dxa"/>
            <w:vAlign w:val="bottom"/>
            <w:gridSpan w:val="4"/>
          </w:tcPr>
          <w:p>
            <w:pPr>
              <w:spacing w:after="0"/>
              <w:rPr>
                <w:sz w:val="17"/>
                <w:szCs w:val="17"/>
                <w:color w:val="auto"/>
              </w:rPr>
            </w:pPr>
          </w:p>
        </w:tc>
        <w:tc>
          <w:tcPr>
            <w:tcW w:w="8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24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20" w:type="dxa"/>
            <w:vAlign w:val="bottom"/>
            <w:gridSpan w:val="3"/>
          </w:tcPr>
          <w:p>
            <w:pPr>
              <w:spacing w:after="0"/>
              <w:rPr>
                <w:sz w:val="17"/>
                <w:szCs w:val="17"/>
                <w:color w:val="auto"/>
              </w:rPr>
            </w:pPr>
          </w:p>
        </w:tc>
        <w:tc>
          <w:tcPr>
            <w:tcW w:w="2920" w:type="dxa"/>
            <w:vAlign w:val="bottom"/>
            <w:gridSpan w:val="4"/>
          </w:tcPr>
          <w:p>
            <w:pPr>
              <w:spacing w:after="0"/>
              <w:rPr>
                <w:sz w:val="17"/>
                <w:szCs w:val="17"/>
                <w:color w:val="auto"/>
              </w:rPr>
            </w:pPr>
          </w:p>
        </w:tc>
        <w:tc>
          <w:tcPr>
            <w:tcW w:w="8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37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40" w:type="dxa"/>
            <w:vAlign w:val="bottom"/>
            <w:tcBorders>
              <w:left w:val="single" w:sz="8" w:color="0000FF"/>
            </w:tcBorders>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gridSpan w:val="5"/>
          </w:tcPr>
          <w:p>
            <w:pPr>
              <w:spacing w:after="0"/>
              <w:rPr>
                <w:sz w:val="17"/>
                <w:szCs w:val="17"/>
                <w:color w:val="auto"/>
              </w:rPr>
            </w:pPr>
          </w:p>
        </w:tc>
        <w:tc>
          <w:tcPr>
            <w:tcW w:w="5040" w:type="dxa"/>
            <w:vAlign w:val="bottom"/>
            <w:gridSpan w:val="7"/>
          </w:tcPr>
          <w:p>
            <w:pPr>
              <w:spacing w:after="0"/>
              <w:rPr>
                <w:sz w:val="17"/>
                <w:szCs w:val="17"/>
                <w:color w:val="auto"/>
              </w:rPr>
            </w:pPr>
          </w:p>
        </w:tc>
        <w:tc>
          <w:tcPr>
            <w:tcW w:w="8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37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PART II</w:t>
            </w:r>
          </w:p>
        </w:tc>
        <w:tc>
          <w:tcPr>
            <w:tcW w:w="1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OTHER INFORMATION</w:t>
            </w:r>
          </w:p>
        </w:tc>
        <w:tc>
          <w:tcPr>
            <w:tcW w:w="7480" w:type="dxa"/>
            <w:vAlign w:val="bottom"/>
            <w:gridSpan w:val="11"/>
          </w:tcPr>
          <w:p>
            <w:pPr>
              <w:spacing w:after="0"/>
              <w:rPr>
                <w:sz w:val="17"/>
                <w:szCs w:val="17"/>
                <w:color w:val="auto"/>
              </w:rPr>
            </w:pPr>
          </w:p>
        </w:tc>
        <w:tc>
          <w:tcPr>
            <w:tcW w:w="8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38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480" w:type="dxa"/>
            <w:vAlign w:val="bottom"/>
            <w:gridSpan w:val="11"/>
          </w:tcPr>
          <w:p>
            <w:pPr>
              <w:spacing w:after="0"/>
              <w:rPr>
                <w:sz w:val="17"/>
                <w:szCs w:val="17"/>
                <w:color w:val="auto"/>
              </w:rPr>
            </w:pPr>
          </w:p>
        </w:tc>
        <w:tc>
          <w:tcPr>
            <w:tcW w:w="8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38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380" w:type="dxa"/>
            <w:vAlign w:val="bottom"/>
          </w:tcPr>
          <w:p>
            <w:pPr>
              <w:spacing w:after="0"/>
              <w:rPr>
                <w:sz w:val="17"/>
                <w:szCs w:val="17"/>
                <w:color w:val="auto"/>
              </w:rPr>
            </w:pPr>
          </w:p>
        </w:tc>
        <w:tc>
          <w:tcPr>
            <w:tcW w:w="8080" w:type="dxa"/>
            <w:vAlign w:val="bottom"/>
            <w:gridSpan w:val="13"/>
          </w:tcPr>
          <w:p>
            <w:pPr>
              <w:spacing w:after="0"/>
              <w:rPr>
                <w:sz w:val="17"/>
                <w:szCs w:val="17"/>
                <w:color w:val="auto"/>
              </w:rPr>
            </w:pPr>
          </w:p>
        </w:tc>
        <w:tc>
          <w:tcPr>
            <w:tcW w:w="8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38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40" w:type="dxa"/>
            <w:vAlign w:val="bottom"/>
            <w:gridSpan w:val="7"/>
          </w:tcPr>
          <w:p>
            <w:pPr>
              <w:spacing w:after="0"/>
              <w:rPr>
                <w:sz w:val="17"/>
                <w:szCs w:val="17"/>
                <w:color w:val="auto"/>
              </w:rPr>
            </w:pPr>
          </w:p>
        </w:tc>
        <w:tc>
          <w:tcPr>
            <w:tcW w:w="8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69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gridSpan w:val="2"/>
          </w:tcPr>
          <w:p>
            <w:pPr>
              <w:spacing w:after="0"/>
              <w:rPr>
                <w:sz w:val="17"/>
                <w:szCs w:val="17"/>
                <w:color w:val="auto"/>
              </w:rPr>
            </w:pPr>
          </w:p>
        </w:tc>
        <w:tc>
          <w:tcPr>
            <w:tcW w:w="5040" w:type="dxa"/>
            <w:vAlign w:val="bottom"/>
            <w:gridSpan w:val="7"/>
          </w:tcPr>
          <w:p>
            <w:pPr>
              <w:spacing w:after="0"/>
              <w:rPr>
                <w:sz w:val="17"/>
                <w:szCs w:val="17"/>
                <w:color w:val="auto"/>
              </w:rPr>
            </w:pPr>
          </w:p>
        </w:tc>
        <w:tc>
          <w:tcPr>
            <w:tcW w:w="8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70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706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Mine Safety Disclosures</w:t>
            </w:r>
          </w:p>
        </w:tc>
        <w:tc>
          <w:tcPr>
            <w:tcW w:w="560" w:type="dxa"/>
            <w:vAlign w:val="bottom"/>
            <w:gridSpan w:val="3"/>
          </w:tcPr>
          <w:p>
            <w:pPr>
              <w:spacing w:after="0"/>
              <w:rPr>
                <w:sz w:val="17"/>
                <w:szCs w:val="17"/>
                <w:color w:val="auto"/>
              </w:rPr>
            </w:pPr>
          </w:p>
        </w:tc>
        <w:tc>
          <w:tcPr>
            <w:tcW w:w="7060" w:type="dxa"/>
            <w:vAlign w:val="bottom"/>
            <w:gridSpan w:val="9"/>
          </w:tcPr>
          <w:p>
            <w:pPr>
              <w:spacing w:after="0"/>
              <w:rPr>
                <w:sz w:val="17"/>
                <w:szCs w:val="17"/>
                <w:color w:val="auto"/>
              </w:rPr>
            </w:pPr>
          </w:p>
        </w:tc>
        <w:tc>
          <w:tcPr>
            <w:tcW w:w="8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70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1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620" w:type="dxa"/>
            <w:vAlign w:val="bottom"/>
            <w:gridSpan w:val="12"/>
          </w:tcPr>
          <w:p>
            <w:pPr>
              <w:spacing w:after="0"/>
              <w:rPr>
                <w:sz w:val="17"/>
                <w:szCs w:val="17"/>
                <w:color w:val="auto"/>
              </w:rPr>
            </w:pPr>
          </w:p>
        </w:tc>
        <w:tc>
          <w:tcPr>
            <w:tcW w:w="8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70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80" w:type="dxa"/>
            <w:vAlign w:val="bottom"/>
            <w:gridSpan w:val="1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080" w:type="dxa"/>
            <w:vAlign w:val="bottom"/>
            <w:gridSpan w:val="13"/>
          </w:tcPr>
          <w:p>
            <w:pPr>
              <w:spacing w:after="0"/>
              <w:rPr>
                <w:sz w:val="17"/>
                <w:szCs w:val="17"/>
                <w:color w:val="auto"/>
              </w:rPr>
            </w:pPr>
          </w:p>
        </w:tc>
        <w:tc>
          <w:tcPr>
            <w:tcW w:w="8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71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4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72</w:t>
            </w:r>
          </w:p>
        </w:tc>
        <w:tc>
          <w:tcPr>
            <w:tcW w:w="0" w:type="dxa"/>
            <w:vAlign w:val="bottom"/>
          </w:tcPr>
          <w:p>
            <w:pPr>
              <w:spacing w:after="0"/>
              <w:rPr>
                <w:sz w:val="1"/>
                <w:szCs w:val="1"/>
                <w:color w:val="auto"/>
              </w:rPr>
            </w:pPr>
          </w:p>
        </w:tc>
      </w:tr>
      <w:tr>
        <w:trPr>
          <w:trHeight w:val="2133"/>
        </w:trPr>
        <w:tc>
          <w:tcPr>
            <w:tcW w:w="10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the federal securities laws, which statements are subject to substantial risks and uncertainties and are based on current expectations, estimates, forecasts and assumptions. All statements other than statements of historical fact included in this Quarterly Report, including statements concerning our plans, objectives, goals, strategies, future events, future revenues or performance, capital requirements or financing needs, capital expenditures, commitments, preclinical studies, clinical trials, plans or intentions relating to product candidates, expected markets and business trends, and other statements, including without limitation, those discussed under the sections titled “Risk Factors” and “Management’s Discussion and Analysis of Financial Condition and Results of Operations”, are forward-looking statements. In some cases, you can identify forward-looking statements by terms such as “may,” “might,” “will,” “would,” “shall,” “objective,” “intend,” “target,” “should,” “could,” “can,” “expect,” “anticipate,” “believe,” “design,” “estimate,” “forecast,” “predict,” “potential,” “plan,” “seek,” or “continue” or the negative of these terms and similar expressions intended to identify forward-looking statements. Forward-looking statements reflect our current views with respect to future events. Given the significant risks and uncertainties, you should not place undue reliance on these forward-looking statements.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are a number of risks, uncertainties and other factors that could cause our actual results to differ materially from the forward-looking statements expressed or implied in this Quarterly Report. Such risks, uncertainties and other factors include, among others, the following:</w:t>
      </w:r>
    </w:p>
    <w:p>
      <w:pPr>
        <w:spacing w:after="0" w:line="54" w:lineRule="exact"/>
        <w:rPr>
          <w:sz w:val="20"/>
          <w:szCs w:val="20"/>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programs for the treatment of atopic dermatitis, asthma, eosinophilic esophagitis, chronic obstructive pulmonary disease, and related inflammatory and immunology indications with high unmet need;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the development and potential commercialization of our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focus of our ongoing and future preclinical studies and clinical trials and the reporting of data from those studies and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of our programs, including additional indications we may pursue;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programs, including our estimates of the number of patients who suffer from the diseases we are targeting;</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preclinical studies and clinical trials of our programs and for the manufacture of our product candidates for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preclinical and clinical development activities and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collaborations and licensing and other arrangements and entry into new collaborations and licensing and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programs, as well as potential future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treatments that are or may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management and technical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and cash equivalents, marketable securities and long-term marketable securities will be sufficient to fund our future operating expenses and capital expenditure requirements;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and other risks and uncertainties and other factors, including those discussed under the section titled “Risk Factors” of this Quarterly Report, may cause our actual results and outcomes, or timing of our results or outcomes, to differ materially and adversely from the forward-looking statements expressed or implied in this Quarterly Report, including factors disclosed in the sections titled “Risk Factors” and “Management’s Discussion and Analysis of Financial Condition and Results of Operations.” You should evaluate all forward-looking statements made in this Quarterly Report in the context of these risks and uncertainties.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referred to above and elsewhere in this Quarterly Report may not contain all of the risks, uncertainties and other factors that may affect us, our future results or our operations. Moreover, new risks may emerge from time to time. It is not possible for us to predict all risks. In addition, we cannot assure you that we will realize the results, benefits or developments that we expect or anticipate or, even if substantially realized, that they will result in the consequences or affect us or our business in the way expected.</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All forward-looking statements in this Quarterly Report apply only as of the date made and are expressly qualified in their entirety by this and other cautionary statements included in this Quarterly Report. Except as required by law, we undertake no obligation to publicly update or revise any forward-looking statements, whether as a result of new information, subsequent events, changes in assumptions or circumstances or otherwise.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date of this Quarterly Report, and while we believe we have a reasonable basis for such statements, our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 xml:space="preserve">The Apogee name and logo are our registered trademarks. This Quarterly Report contains references to our trademarks and to trademarks and service marks belonging to other entities. Solely for convenience, trademarks, service marks and trade names referred to in this Quarterly Report, including logos, artwork and other visual displays, may appear without the ®, </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913765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451,797</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131,549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598,643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741,358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198,354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172,730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100" w:type="dxa"/>
            <w:vAlign w:val="bottom"/>
          </w:tcPr>
          <w:p>
            <w:pPr>
              <w:spacing w:after="0"/>
              <w:rPr>
                <w:sz w:val="18"/>
                <w:szCs w:val="18"/>
                <w:color w:val="auto"/>
              </w:rPr>
            </w:pPr>
          </w:p>
        </w:tc>
      </w:tr>
      <w:tr>
        <w:trPr>
          <w:trHeight w:val="25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1,293,654</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937,134</w:t>
            </w:r>
          </w:p>
        </w:tc>
        <w:tc>
          <w:tcPr>
            <w:tcW w:w="100" w:type="dxa"/>
            <w:vAlign w:val="bottom"/>
            <w:shd w:val="clear" w:color="auto" w:fill="CFF0FC"/>
          </w:tcPr>
          <w:p>
            <w:pPr>
              <w:spacing w:after="0"/>
              <w:rPr>
                <w:sz w:val="21"/>
                <w:szCs w:val="21"/>
                <w:color w:val="auto"/>
              </w:rPr>
            </w:pPr>
          </w:p>
        </w:tc>
      </w:tr>
      <w:tr>
        <w:trPr>
          <w:trHeight w:val="196"/>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23,181</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liability, net of current</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33,251</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$0.00001 par value, 400,000,000 authorized, 75,323,726 issued and</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74,882,396 outstanding as of March 31, 2026; 400,000,000 authorized, 69,038,943 issued and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68,401,349 outstanding as of December 31, 2025</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1,892,411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1,464,561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(635,870)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(561,759)</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1,255,793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903,883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1,293,654</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937,134</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-3539490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-2699385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-2682240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-1567815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60"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-3175</wp:posOffset>
            </wp:positionV>
            <wp:extent cx="22974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1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0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4"/>
                <w:szCs w:val="24"/>
                <w:color w:val="auto"/>
                <w:vertAlign w:val="superscript"/>
              </w:rPr>
              <w:t>(1)</w:t>
            </w:r>
          </w:p>
        </w:tc>
        <w:tc>
          <w:tcPr>
            <w:tcW w:w="1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60,819</w:t>
            </w:r>
          </w:p>
        </w:tc>
        <w:tc>
          <w:tcPr>
            <w:tcW w:w="32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46,387</w:t>
            </w:r>
          </w:p>
        </w:tc>
        <w:tc>
          <w:tcPr>
            <w:tcW w:w="12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82,772</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63,096</w:t>
            </w:r>
          </w:p>
        </w:tc>
        <w:tc>
          <w:tcPr>
            <w:tcW w:w="120" w:type="dxa"/>
            <w:vAlign w:val="bottom"/>
          </w:tcPr>
          <w:p>
            <w:pPr>
              <w:spacing w:after="0"/>
              <w:rPr>
                <w:sz w:val="18"/>
                <w:szCs w:val="18"/>
                <w:color w:val="auto"/>
              </w:rPr>
            </w:pPr>
          </w:p>
        </w:tc>
      </w:tr>
      <w:tr>
        <w:trPr>
          <w:trHeight w:val="21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(82,772)</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(63,096)</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4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net</w:t>
            </w:r>
          </w:p>
        </w:tc>
        <w:tc>
          <w:tcPr>
            <w:tcW w:w="1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20" w:type="dxa"/>
            <w:vAlign w:val="bottom"/>
          </w:tcPr>
          <w:p>
            <w:pPr>
              <w:spacing w:after="0"/>
              <w:rPr>
                <w:sz w:val="18"/>
                <w:szCs w:val="18"/>
                <w:color w:val="auto"/>
              </w:rPr>
            </w:pPr>
          </w:p>
        </w:tc>
      </w:tr>
      <w:tr>
        <w:trPr>
          <w:trHeight w:val="21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1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(74,032)</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(55,256)</w:t>
            </w:r>
          </w:p>
        </w:tc>
      </w:tr>
      <w:tr>
        <w:trPr>
          <w:trHeight w:val="216"/>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3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6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after taxes</w:t>
            </w:r>
          </w:p>
        </w:tc>
        <w:tc>
          <w:tcPr>
            <w:tcW w:w="14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(74,111)</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(55,339)</w:t>
            </w: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400" w:type="dxa"/>
            <w:vAlign w:val="bottom"/>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(0.95)</w:t>
            </w:r>
          </w:p>
        </w:tc>
      </w:tr>
      <w:tr>
        <w:trPr>
          <w:trHeight w:val="20"/>
        </w:trPr>
        <w:tc>
          <w:tcPr>
            <w:tcW w:w="6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1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4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69,668,439</w:t>
            </w:r>
          </w:p>
        </w:tc>
        <w:tc>
          <w:tcPr>
            <w:tcW w:w="3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58,195,272</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-1490980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-1490980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-925195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-351155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-334010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-351155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9030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4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amounts of $640 and $32 for the three months ended March 31, 2026 and 2025, respectively.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60"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8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(74,111)</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(55,339)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gain on marketable securities, net of tax</w:t>
            </w: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(1,829)</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(75,940)</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(55,180)</w:t>
            </w: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ACCUMULATE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4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OTHER</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COMPREHENSI</w:t>
            </w: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TOTAL</w:t>
            </w:r>
          </w:p>
        </w:tc>
      </w:tr>
      <w:tr>
        <w:trPr>
          <w:trHeight w:val="135"/>
        </w:trPr>
        <w:tc>
          <w:tcPr>
            <w:tcW w:w="4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ADDITIONAL</w:t>
            </w:r>
          </w:p>
        </w:tc>
        <w:tc>
          <w:tcPr>
            <w:tcW w:w="240" w:type="dxa"/>
            <w:vAlign w:val="bottom"/>
          </w:tcPr>
          <w:p>
            <w:pPr>
              <w:spacing w:after="0"/>
              <w:rPr>
                <w:sz w:val="11"/>
                <w:szCs w:val="11"/>
                <w:color w:val="auto"/>
              </w:rPr>
            </w:pPr>
          </w:p>
        </w:tc>
        <w:tc>
          <w:tcPr>
            <w:tcW w:w="120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w:t>
            </w:r>
          </w:p>
        </w:tc>
        <w:tc>
          <w:tcPr>
            <w:tcW w:w="140" w:type="dxa"/>
            <w:vAlign w:val="bottom"/>
          </w:tcPr>
          <w:p>
            <w:pPr>
              <w:spacing w:after="0"/>
              <w:rPr>
                <w:sz w:val="11"/>
                <w:szCs w:val="11"/>
                <w:color w:val="auto"/>
              </w:rPr>
            </w:pPr>
          </w:p>
        </w:tc>
        <w:tc>
          <w:tcPr>
            <w:tcW w:w="104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VE</w:t>
            </w:r>
          </w:p>
        </w:tc>
        <w:tc>
          <w:tcPr>
            <w:tcW w:w="10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STOCKHOLDE</w:t>
            </w:r>
          </w:p>
        </w:tc>
      </w:tr>
      <w:tr>
        <w:trPr>
          <w:trHeight w:val="135"/>
        </w:trPr>
        <w:tc>
          <w:tcPr>
            <w:tcW w:w="4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PAID-IN</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84"/>
              </w:rPr>
              <w:t>D</w:t>
            </w:r>
          </w:p>
        </w:tc>
        <w:tc>
          <w:tcPr>
            <w:tcW w:w="140" w:type="dxa"/>
            <w:vAlign w:val="bottom"/>
          </w:tcPr>
          <w:p>
            <w:pPr>
              <w:spacing w:after="0"/>
              <w:rPr>
                <w:sz w:val="11"/>
                <w:szCs w:val="11"/>
                <w:color w:val="auto"/>
              </w:rPr>
            </w:pPr>
          </w:p>
        </w:tc>
        <w:tc>
          <w:tcPr>
            <w:tcW w:w="104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INCOME</w:t>
            </w: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RS'</w:t>
            </w:r>
          </w:p>
        </w:tc>
      </w:tr>
      <w:tr>
        <w:trPr>
          <w:trHeight w:val="155"/>
        </w:trPr>
        <w:tc>
          <w:tcPr>
            <w:tcW w:w="4000" w:type="dxa"/>
            <w:vAlign w:val="bottom"/>
          </w:tcPr>
          <w:p>
            <w:pPr>
              <w:spacing w:after="0"/>
              <w:rPr>
                <w:sz w:val="13"/>
                <w:szCs w:val="13"/>
                <w:color w:val="auto"/>
              </w:rPr>
            </w:pPr>
          </w:p>
        </w:tc>
        <w:tc>
          <w:tcPr>
            <w:tcW w:w="2100" w:type="dxa"/>
            <w:vAlign w:val="bottom"/>
            <w:gridSpan w:val="3"/>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DEFICIT</w:t>
            </w:r>
          </w:p>
        </w:tc>
        <w:tc>
          <w:tcPr>
            <w:tcW w:w="140" w:type="dxa"/>
            <w:vAlign w:val="bottom"/>
          </w:tcPr>
          <w:p>
            <w:pPr>
              <w:spacing w:after="0"/>
              <w:rPr>
                <w:sz w:val="13"/>
                <w:szCs w:val="13"/>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EQUITY</w:t>
            </w:r>
          </w:p>
        </w:tc>
      </w:tr>
      <w:tr>
        <w:trPr>
          <w:trHeight w:val="128"/>
        </w:trPr>
        <w:tc>
          <w:tcPr>
            <w:tcW w:w="400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right"/>
              <w:ind w:right="19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top w:val="single" w:sz="8" w:color="auto"/>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7"/>
              </w:rPr>
              <w:t>AMOUNT</w:t>
            </w:r>
          </w:p>
        </w:tc>
        <w:tc>
          <w:tcPr>
            <w:tcW w:w="2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7"/>
              </w:rPr>
              <w:t>AMOUNT</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center"/>
              <w:ind w:right="81"/>
              <w:spacing w:after="0" w:line="129" w:lineRule="exact"/>
              <w:rPr>
                <w:sz w:val="20"/>
                <w:szCs w:val="20"/>
                <w:color w:val="auto"/>
              </w:rPr>
            </w:pPr>
            <w:r>
              <w:rPr>
                <w:rFonts w:ascii="Times New Roman" w:cs="Times New Roman" w:eastAsia="Times New Roman" w:hAnsi="Times New Roman"/>
                <w:sz w:val="13"/>
                <w:szCs w:val="13"/>
                <w:b w:val="1"/>
                <w:bCs w:val="1"/>
                <w:color w:val="auto"/>
                <w:w w:val="97"/>
              </w:rPr>
              <w:t>AMOUNT</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78"/>
              <w:spacing w:after="0" w:line="129" w:lineRule="exact"/>
              <w:rPr>
                <w:sz w:val="20"/>
                <w:szCs w:val="20"/>
                <w:color w:val="auto"/>
              </w:rPr>
            </w:pPr>
            <w:r>
              <w:rPr>
                <w:rFonts w:ascii="Times New Roman" w:cs="Times New Roman" w:eastAsia="Times New Roman" w:hAnsi="Times New Roman"/>
                <w:sz w:val="13"/>
                <w:szCs w:val="13"/>
                <w:b w:val="1"/>
                <w:bCs w:val="1"/>
                <w:color w:val="auto"/>
                <w:w w:val="94"/>
              </w:rPr>
              <w:t>AMOUNT</w:t>
            </w:r>
          </w:p>
        </w:tc>
        <w:tc>
          <w:tcPr>
            <w:tcW w:w="100" w:type="dxa"/>
            <w:vAlign w:val="bottom"/>
          </w:tcPr>
          <w:p>
            <w:pPr>
              <w:spacing w:after="0"/>
              <w:rPr>
                <w:sz w:val="11"/>
                <w:szCs w:val="11"/>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68,401,349</w:t>
            </w:r>
          </w:p>
        </w:tc>
        <w:tc>
          <w:tcPr>
            <w:tcW w:w="1040" w:type="dxa"/>
            <w:vAlign w:val="bottom"/>
            <w:gridSpan w:val="2"/>
            <w:shd w:val="clear" w:color="auto" w:fill="CFF0FC"/>
          </w:tcPr>
          <w:p>
            <w:pPr>
              <w:jc w:val="right"/>
              <w:ind w:right="62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1,464,561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(561,759)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903,883</w:t>
            </w:r>
          </w:p>
        </w:tc>
        <w:tc>
          <w:tcPr>
            <w:tcW w:w="100" w:type="dxa"/>
            <w:vAlign w:val="bottom"/>
            <w:shd w:val="clear" w:color="auto" w:fill="CFF0FC"/>
          </w:tcPr>
          <w:p>
            <w:pPr>
              <w:spacing w:after="0"/>
              <w:rPr>
                <w:sz w:val="18"/>
                <w:szCs w:val="18"/>
                <w:color w:val="auto"/>
              </w:rPr>
            </w:pP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net of issuance costs of</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$25,059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377,441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377,441</w:t>
            </w:r>
          </w:p>
        </w:tc>
        <w:tc>
          <w:tcPr>
            <w:tcW w:w="100" w:type="dxa"/>
            <w:vAlign w:val="bottom"/>
          </w:tcPr>
          <w:p>
            <w:pPr>
              <w:spacing w:after="0"/>
              <w:rPr>
                <w:sz w:val="20"/>
                <w:szCs w:val="20"/>
                <w:color w:val="auto"/>
              </w:rPr>
            </w:pPr>
          </w:p>
        </w:tc>
      </w:tr>
      <w:tr>
        <w:trPr>
          <w:trHeight w:val="198"/>
        </w:trPr>
        <w:tc>
          <w:tcPr>
            <w:tcW w:w="4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net of issuance costs of $769,</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under at the market equity offering program (“ATM</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369,220</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28,934</w:t>
            </w:r>
          </w:p>
        </w:tc>
        <w:tc>
          <w:tcPr>
            <w:tcW w:w="100" w:type="dxa"/>
            <w:vAlign w:val="bottom"/>
            <w:shd w:val="clear" w:color="auto" w:fill="CFF0FC"/>
          </w:tcPr>
          <w:p>
            <w:pPr>
              <w:spacing w:after="0"/>
              <w:rPr>
                <w:sz w:val="20"/>
                <w:szCs w:val="20"/>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222,013</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139,814</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shd w:val="clear" w:color="auto" w:fill="CFF0FC"/>
          </w:tcPr>
          <w:p>
            <w:pPr>
              <w:spacing w:after="0"/>
              <w:rPr>
                <w:sz w:val="20"/>
                <w:szCs w:val="20"/>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marketable securities, net of tax</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(1,829)</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(74,111)</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(74,111)</w:t>
            </w:r>
          </w:p>
        </w:tc>
      </w:tr>
      <w:tr>
        <w:trPr>
          <w:trHeight w:val="20"/>
        </w:trPr>
        <w:tc>
          <w:tcPr>
            <w:tcW w:w="4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74,882,396</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2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1,892,411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(635,870)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1,255,793</w:t>
            </w:r>
          </w:p>
        </w:tc>
        <w:tc>
          <w:tcPr>
            <w:tcW w:w="100" w:type="dxa"/>
            <w:vAlign w:val="bottom"/>
            <w:shd w:val="clear" w:color="auto" w:fill="CFF0FC"/>
          </w:tcPr>
          <w:p>
            <w:pPr>
              <w:spacing w:after="0"/>
              <w:rPr>
                <w:sz w:val="19"/>
                <w:szCs w:val="19"/>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-24765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-7620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ACCUMULATE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4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81"/>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81"/>
              <w:spacing w:after="0" w:line="135" w:lineRule="exact"/>
              <w:rPr>
                <w:sz w:val="20"/>
                <w:szCs w:val="20"/>
                <w:color w:val="auto"/>
              </w:rPr>
            </w:pPr>
            <w:r>
              <w:rPr>
                <w:rFonts w:ascii="Times New Roman" w:cs="Times New Roman" w:eastAsia="Times New Roman" w:hAnsi="Times New Roman"/>
                <w:sz w:val="13"/>
                <w:szCs w:val="13"/>
                <w:b w:val="1"/>
                <w:bCs w:val="1"/>
                <w:color w:val="auto"/>
                <w:w w:val="97"/>
              </w:rPr>
              <w:t>OTHER</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TOTAL</w:t>
            </w:r>
          </w:p>
        </w:tc>
      </w:tr>
      <w:tr>
        <w:trPr>
          <w:trHeight w:val="135"/>
        </w:trPr>
        <w:tc>
          <w:tcPr>
            <w:tcW w:w="4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ADDITIONAL</w:t>
            </w:r>
          </w:p>
        </w:tc>
        <w:tc>
          <w:tcPr>
            <w:tcW w:w="240" w:type="dxa"/>
            <w:vAlign w:val="bottom"/>
          </w:tcPr>
          <w:p>
            <w:pPr>
              <w:spacing w:after="0"/>
              <w:rPr>
                <w:sz w:val="11"/>
                <w:szCs w:val="11"/>
                <w:color w:val="auto"/>
              </w:rPr>
            </w:pPr>
          </w:p>
        </w:tc>
        <w:tc>
          <w:tcPr>
            <w:tcW w:w="120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COMPREHENSI</w:t>
            </w:r>
          </w:p>
        </w:tc>
        <w:tc>
          <w:tcPr>
            <w:tcW w:w="220" w:type="dxa"/>
            <w:vAlign w:val="bottom"/>
          </w:tcPr>
          <w:p>
            <w:pPr>
              <w:spacing w:after="0"/>
              <w:rPr>
                <w:sz w:val="11"/>
                <w:szCs w:val="11"/>
                <w:color w:val="auto"/>
              </w:rPr>
            </w:pPr>
          </w:p>
        </w:tc>
        <w:tc>
          <w:tcPr>
            <w:tcW w:w="10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STOCKHOLDE</w:t>
            </w:r>
          </w:p>
        </w:tc>
      </w:tr>
      <w:tr>
        <w:trPr>
          <w:trHeight w:val="135"/>
        </w:trPr>
        <w:tc>
          <w:tcPr>
            <w:tcW w:w="4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4"/>
              </w:rPr>
              <w:t>PAID-IN</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84"/>
              </w:rPr>
              <w:t>D</w:t>
            </w:r>
          </w:p>
        </w:tc>
        <w:tc>
          <w:tcPr>
            <w:tcW w:w="140" w:type="dxa"/>
            <w:vAlign w:val="bottom"/>
          </w:tcPr>
          <w:p>
            <w:pPr>
              <w:spacing w:after="0"/>
              <w:rPr>
                <w:sz w:val="11"/>
                <w:szCs w:val="11"/>
                <w:color w:val="auto"/>
              </w:rPr>
            </w:pPr>
          </w:p>
        </w:tc>
        <w:tc>
          <w:tcPr>
            <w:tcW w:w="820" w:type="dxa"/>
            <w:vAlign w:val="bottom"/>
          </w:tcPr>
          <w:p>
            <w:pPr>
              <w:jc w:val="center"/>
              <w:ind w:right="121"/>
              <w:spacing w:after="0" w:line="135" w:lineRule="exact"/>
              <w:rPr>
                <w:sz w:val="20"/>
                <w:szCs w:val="20"/>
                <w:color w:val="auto"/>
              </w:rPr>
            </w:pPr>
            <w:r>
              <w:rPr>
                <w:rFonts w:ascii="Times New Roman" w:cs="Times New Roman" w:eastAsia="Times New Roman" w:hAnsi="Times New Roman"/>
                <w:sz w:val="13"/>
                <w:szCs w:val="13"/>
                <w:b w:val="1"/>
                <w:bCs w:val="1"/>
                <w:color w:val="auto"/>
                <w:w w:val="99"/>
              </w:rPr>
              <w:t>VE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RS'</w:t>
            </w:r>
          </w:p>
        </w:tc>
      </w:tr>
      <w:tr>
        <w:trPr>
          <w:trHeight w:val="155"/>
        </w:trPr>
        <w:tc>
          <w:tcPr>
            <w:tcW w:w="4000" w:type="dxa"/>
            <w:vAlign w:val="bottom"/>
          </w:tcPr>
          <w:p>
            <w:pPr>
              <w:spacing w:after="0"/>
              <w:rPr>
                <w:sz w:val="13"/>
                <w:szCs w:val="13"/>
                <w:color w:val="auto"/>
              </w:rPr>
            </w:pPr>
          </w:p>
        </w:tc>
        <w:tc>
          <w:tcPr>
            <w:tcW w:w="2100" w:type="dxa"/>
            <w:vAlign w:val="bottom"/>
            <w:gridSpan w:val="3"/>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DEFICIT</w:t>
            </w:r>
          </w:p>
        </w:tc>
        <w:tc>
          <w:tcPr>
            <w:tcW w:w="140" w:type="dxa"/>
            <w:vAlign w:val="bottom"/>
          </w:tcPr>
          <w:p>
            <w:pPr>
              <w:spacing w:after="0"/>
              <w:rPr>
                <w:sz w:val="13"/>
                <w:szCs w:val="13"/>
                <w:color w:val="auto"/>
              </w:rPr>
            </w:pPr>
          </w:p>
        </w:tc>
        <w:tc>
          <w:tcPr>
            <w:tcW w:w="820" w:type="dxa"/>
            <w:vAlign w:val="bottom"/>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8"/>
              </w:rPr>
              <w:t>INCOME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EQUITY</w:t>
            </w:r>
          </w:p>
        </w:tc>
      </w:tr>
      <w:tr>
        <w:trPr>
          <w:trHeight w:val="128"/>
        </w:trPr>
        <w:tc>
          <w:tcPr>
            <w:tcW w:w="400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right"/>
              <w:ind w:right="196"/>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top w:val="single" w:sz="8" w:color="auto"/>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98"/>
              <w:spacing w:after="0" w:line="129" w:lineRule="exact"/>
              <w:rPr>
                <w:sz w:val="20"/>
                <w:szCs w:val="20"/>
                <w:color w:val="auto"/>
              </w:rPr>
            </w:pPr>
            <w:r>
              <w:rPr>
                <w:rFonts w:ascii="Times New Roman" w:cs="Times New Roman" w:eastAsia="Times New Roman" w:hAnsi="Times New Roman"/>
                <w:sz w:val="13"/>
                <w:szCs w:val="13"/>
                <w:b w:val="1"/>
                <w:bCs w:val="1"/>
                <w:color w:val="auto"/>
                <w:w w:val="97"/>
              </w:rPr>
              <w:t>AMOUNT</w:t>
            </w:r>
          </w:p>
        </w:tc>
        <w:tc>
          <w:tcPr>
            <w:tcW w:w="2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58"/>
              <w:spacing w:after="0" w:line="129" w:lineRule="exact"/>
              <w:rPr>
                <w:sz w:val="20"/>
                <w:szCs w:val="20"/>
                <w:color w:val="auto"/>
              </w:rPr>
            </w:pPr>
            <w:r>
              <w:rPr>
                <w:rFonts w:ascii="Times New Roman" w:cs="Times New Roman" w:eastAsia="Times New Roman" w:hAnsi="Times New Roman"/>
                <w:sz w:val="13"/>
                <w:szCs w:val="13"/>
                <w:b w:val="1"/>
                <w:bCs w:val="1"/>
                <w:color w:val="auto"/>
                <w:w w:val="97"/>
              </w:rPr>
              <w:t>AMOUNT</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center"/>
              <w:ind w:right="81"/>
              <w:spacing w:after="0" w:line="129" w:lineRule="exact"/>
              <w:rPr>
                <w:sz w:val="20"/>
                <w:szCs w:val="20"/>
                <w:color w:val="auto"/>
              </w:rPr>
            </w:pPr>
            <w:r>
              <w:rPr>
                <w:rFonts w:ascii="Times New Roman" w:cs="Times New Roman" w:eastAsia="Times New Roman" w:hAnsi="Times New Roman"/>
                <w:sz w:val="13"/>
                <w:szCs w:val="13"/>
                <w:b w:val="1"/>
                <w:bCs w:val="1"/>
                <w:color w:val="auto"/>
                <w:w w:val="97"/>
              </w:rPr>
              <w:t>AMOUNT</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4"/>
              </w:rPr>
              <w:t>AMOUNT</w:t>
            </w:r>
          </w:p>
        </w:tc>
        <w:tc>
          <w:tcPr>
            <w:tcW w:w="100" w:type="dxa"/>
            <w:vAlign w:val="bottom"/>
          </w:tcPr>
          <w:p>
            <w:pPr>
              <w:spacing w:after="0"/>
              <w:rPr>
                <w:sz w:val="11"/>
                <w:szCs w:val="11"/>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58,062,898</w:t>
            </w:r>
          </w:p>
        </w:tc>
        <w:tc>
          <w:tcPr>
            <w:tcW w:w="1040" w:type="dxa"/>
            <w:vAlign w:val="bottom"/>
            <w:gridSpan w:val="2"/>
            <w:shd w:val="clear" w:color="auto" w:fill="CFF0FC"/>
          </w:tcPr>
          <w:p>
            <w:pPr>
              <w:jc w:val="right"/>
              <w:ind w:right="62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1,021,794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(305,916)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716,794</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213,104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28,799</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FF0FC"/>
          </w:tcPr>
          <w:p>
            <w:pPr>
              <w:spacing w:after="0"/>
              <w:rPr>
                <w:sz w:val="20"/>
                <w:szCs w:val="20"/>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on marketable securities, net of tax</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(55,339)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(55,339)</w:t>
            </w:r>
          </w:p>
        </w:tc>
      </w:tr>
      <w:tr>
        <w:trPr>
          <w:trHeight w:val="20"/>
        </w:trPr>
        <w:tc>
          <w:tcPr>
            <w:tcW w:w="4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58,304,801</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2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1,033,542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(361,255)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673,362</w:t>
            </w:r>
          </w:p>
        </w:tc>
        <w:tc>
          <w:tcPr>
            <w:tcW w:w="100" w:type="dxa"/>
            <w:vAlign w:val="bottom"/>
            <w:shd w:val="clear" w:color="auto" w:fill="CFF0FC"/>
          </w:tcPr>
          <w:p>
            <w:pPr>
              <w:spacing w:after="0"/>
              <w:rPr>
                <w:sz w:val="19"/>
                <w:szCs w:val="19"/>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-24765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-7620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7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(74,111)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(55,339)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discounts on marketable securities</w:t>
            </w: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(2,379)</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(6,841)</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(48,477)</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(98,201)</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(4,317)</w:t>
            </w:r>
          </w:p>
        </w:tc>
      </w:tr>
      <w:tr>
        <w:trPr>
          <w:trHeight w:val="20"/>
        </w:trPr>
        <w:tc>
          <w:tcPr>
            <w:tcW w:w="7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(35,349)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100" w:type="dxa"/>
            <w:vAlign w:val="bottom"/>
            <w:shd w:val="clear" w:color="auto" w:fill="CFF0FC"/>
          </w:tcPr>
          <w:p>
            <w:pPr>
              <w:spacing w:after="0"/>
              <w:rPr>
                <w:sz w:val="18"/>
                <w:szCs w:val="18"/>
                <w:color w:val="auto"/>
              </w:rPr>
            </w:pPr>
          </w:p>
        </w:tc>
      </w:tr>
      <w:tr>
        <w:trPr>
          <w:trHeight w:val="210"/>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the ATM Facility, net of issuance costs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(34,873)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142,083</w:t>
            </w:r>
          </w:p>
        </w:tc>
        <w:tc>
          <w:tcPr>
            <w:tcW w:w="100" w:type="dxa"/>
            <w:vAlign w:val="bottom"/>
          </w:tcPr>
          <w:p>
            <w:pPr>
              <w:spacing w:after="0"/>
              <w:rPr>
                <w:sz w:val="18"/>
                <w:szCs w:val="18"/>
                <w:color w:val="auto"/>
              </w:rPr>
            </w:pPr>
          </w:p>
        </w:tc>
      </w:tr>
      <w:tr>
        <w:trPr>
          <w:trHeight w:val="25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451,797</w:t>
            </w:r>
          </w:p>
        </w:tc>
        <w:tc>
          <w:tcPr>
            <w:tcW w:w="1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107,210</w:t>
            </w:r>
          </w:p>
        </w:tc>
        <w:tc>
          <w:tcPr>
            <w:tcW w:w="100" w:type="dxa"/>
            <w:vAlign w:val="bottom"/>
            <w:shd w:val="clear" w:color="auto" w:fill="CFF0FC"/>
          </w:tcPr>
          <w:p>
            <w:pPr>
              <w:spacing w:after="0"/>
              <w:rPr>
                <w:sz w:val="21"/>
                <w:szCs w:val="21"/>
                <w:color w:val="auto"/>
              </w:rPr>
            </w:pPr>
          </w:p>
        </w:tc>
      </w:tr>
      <w:tr>
        <w:trPr>
          <w:trHeight w:val="196"/>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operating lease liability</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Unpaid financing cost in accrued liability</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 options for which proceeds had not yet been</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received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20"/>
                <w:szCs w:val="20"/>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451,797</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106,916</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451,797</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-3411220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-2562225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-2005330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-1430655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-1414145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Apogee Therapeutics, Inc., together with its consolidated subsidiary (collectively, “Apogee” or the “Company”), is a clinical stage biotechnology company advancing optimized, novel biologics with the potential for differentiated efficacy and dosing in the largest inflammatory and immunology (“I&amp;I”) markets, including for the treatment of atopic dermatitis (“AD”), asthma, eosinophilic esophagitis (“EoE”), chronic obstructive pulmonary disease (“COPD”), and other I&amp;I indications. Apogee's antibody programs are designed to overcome limitations of existing therapies by targeting well-established mechanisms of action and incorporating advanced antibody engineering to optimize half-life and other properties.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 stage companies in the biotechnology industry, including, but not limited to, completing preclinical studies and clinical trials, obtaining regulatory approval for its programs,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programs currently under development, zumilokibart (APG777), APG279 (zumilokibart + APG990), APG273 (zumilokibart + APG333), and APG808,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 reporting capabilities. Even if the Company’s development efforts are successful, it is uncertain when, if ever, the Company will realize revenue from product sales. The Company has primarily funded its operations with proceeds from the sales of preferred units and common stock and has not generated any revenue since inception.</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result, the Company will need substantial additional funding to support its continued operations and growth strategy. Until such a time as the Company can generate significant revenue from product sales, if ever, the Company expects to finance its operations through the sale of equity, debt financings or other capital sources, including collaborations with other companies or other strategic transactions. The Company may be unable to raise additional funds or enter into such other agreements on favorable terms, or at all. If the Company fails to raise capital or enter into such agreements as, and when, needed, the Company may have to significantly delay, scale back or discontinue the development and commercialization of one or more of its programs.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Company Liquidity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evaluated whether there are conditions and events, considered in the aggregate, that raise substantial doubt about its ability to continue as a going concern within one year after the date that the accompanying consolidated financial statements are issued. The Company had an accumulated deficit of $635.9 million as of March 31, 2026. Further, the Company incurred a net loss of $74.1 million and experienced negative cash flows from operations of $55.6 million for the three months ended March 31, 2026. Based on the Company’s current operating plan, it estimates that its existing cash and cash equivalents of $451.8 million, marketable securities of $608.1 million and long-term marketable securities of $198.4 million as of March 31, 2026, will be sufficient to enable the Company to fund its operating expenses and capital requirements through at least the next 12 months from the issuance of these consolidated financial statements.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those risks associated with any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 If the Company fails to become profitable or is unable to sustain profitability on a continuing basis, then it may be unable to continue its operations at planned levels and be forced to reduce its operations.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This Quarterly Report contains references to the Company’s programs, which are used interchangeably to refer to the Company’s clinical programs within its pipeline and its products under development.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as disclosed in Note 2 to the consolidated financial statements included in the Company’s Annual Report on Form 10-K for the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Apogee Therapeutics, Inc. and its wholly-owned subsidiary, Apogee Therapeutics Securities Corporation, formed as a Massachusetts security corporation in September 2024.</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 In the Company’s management opinion, the information furnished in these unaudited condensed consolidated financial statements reflects all adjustments, all of which are of a normal and recurring nature, necessary for a fair presentation of the financial position and results of operations for the interim reported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Apogee Therapeutics, Inc. and its wholly-owned subsidiary. All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in the financial statements and accompanying notes. Actual results could materially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Significant estimates relied upon in preparing the accompanying consolidated financial statements include, among others: research and development expenses and related prepaid or accrued costs, the valuation of equity-based compensation awards and related expense.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one operating segment and one reporting unit. The Company’s chief operating decision maker, its Chief Executive Officer, manages the Company’s operations on a consolidated basis for the purposes of assessing performance and allocating resources. All of the Company’s assets are located in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required to disclose information on all assets and liabilities reported at fair value that enables an assessment of the inputs used in determining the reported fair values. FASB ASC Topic 820, Fair Value Measurements and Disclosures (“ASC 820”), establishes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Valuations based on quoted prices in active markets for identical assets or liabilities that the Company has the ability to access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date.</w:t>
      </w:r>
    </w:p>
    <w:p>
      <w:pPr>
        <w:sectPr>
          <w:pgSz w:w="11900" w:h="16838" w:orient="portrait"/>
          <w:cols w:equalWidth="0" w:num="1">
            <w:col w:w="11240"/>
          </w:cols>
          <w:pgMar w:left="320" w:top="117" w:right="33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Valuations based on quoted prices for similar assets or liabilities in markets that are not active or for which all significant inputs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observable, either directly or indirectly.</w:t>
      </w:r>
    </w:p>
    <w:p>
      <w:pPr>
        <w:spacing w:after="0" w:line="47"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Valuations that require inputs that reflect the Company’s own assumptions that are both significant to the fair value measurement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unobservable.</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Items measured at fair value on a recurring basis as of March 31, 2026 include cash equivalents and marketable securities (Notes 3 and 4). The carrying amounts reflected in the accompanying consolidated balance sheets for prepaid expenses and other current assets, accounts payable and accrued expenses approximate their fair values due to their short-term nature.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calculated using the straight-line method over the following estimated useful lives of the assets: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0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09"/>
        </w:trPr>
        <w:tc>
          <w:tcPr>
            <w:tcW w:w="9240" w:type="dxa"/>
            <w:vAlign w:val="bottom"/>
            <w:vMerge w:val="continue"/>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198"/>
        </w:trPr>
        <w:tc>
          <w:tcPr>
            <w:tcW w:w="92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Shorter of the lease</w:t>
            </w:r>
          </w:p>
        </w:tc>
        <w:tc>
          <w:tcPr>
            <w:tcW w:w="0" w:type="dxa"/>
            <w:vAlign w:val="bottom"/>
          </w:tcPr>
          <w:p>
            <w:pPr>
              <w:spacing w:after="0"/>
              <w:rPr>
                <w:sz w:val="1"/>
                <w:szCs w:val="1"/>
                <w:color w:val="auto"/>
              </w:rPr>
            </w:pPr>
          </w:p>
        </w:tc>
      </w:tr>
      <w:tr>
        <w:trPr>
          <w:trHeight w:val="126"/>
        </w:trPr>
        <w:tc>
          <w:tcPr>
            <w:tcW w:w="9240" w:type="dxa"/>
            <w:vAlign w:val="bottom"/>
            <w:vMerge w:val="continue"/>
            <w:shd w:val="clear" w:color="auto" w:fill="CFF0FC"/>
          </w:tcPr>
          <w:p>
            <w:pPr>
              <w:spacing w:after="0"/>
              <w:rPr>
                <w:sz w:val="10"/>
                <w:szCs w:val="10"/>
                <w:color w:val="auto"/>
              </w:rPr>
            </w:pPr>
          </w:p>
        </w:tc>
        <w:tc>
          <w:tcPr>
            <w:tcW w:w="2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term or useful life</w:t>
            </w:r>
          </w:p>
        </w:tc>
        <w:tc>
          <w:tcPr>
            <w:tcW w:w="0" w:type="dxa"/>
            <w:vAlign w:val="bottom"/>
          </w:tcPr>
          <w:p>
            <w:pPr>
              <w:spacing w:after="0"/>
              <w:rPr>
                <w:sz w:val="1"/>
                <w:szCs w:val="1"/>
                <w:color w:val="auto"/>
              </w:rPr>
            </w:pPr>
          </w:p>
        </w:tc>
      </w:tr>
      <w:tr>
        <w:trPr>
          <w:trHeight w:val="108"/>
        </w:trPr>
        <w:tc>
          <w:tcPr>
            <w:tcW w:w="9240" w:type="dxa"/>
            <w:vAlign w:val="bottom"/>
            <w:shd w:val="clear" w:color="auto" w:fill="CFF0FC"/>
          </w:tcPr>
          <w:p>
            <w:pPr>
              <w:spacing w:after="0"/>
              <w:rPr>
                <w:sz w:val="9"/>
                <w:szCs w:val="9"/>
                <w:color w:val="auto"/>
              </w:rPr>
            </w:pPr>
          </w:p>
        </w:tc>
        <w:tc>
          <w:tcPr>
            <w:tcW w:w="20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and bonuses, overhead costs, contract services and other related costs. The value of goods and services received from contract research organizations and contract manufacturing organizations in the reporting period are estimated based on the level of services performed, and progress in the period in cases when the Company has not received an invoice from the supplier. In circumstances where amounts have been paid in excess of costs incurred, the Company records a prepaid expense.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Income taxes are recorded in accordance with FASB ASC Topic 740, Income Taxes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Valuation allowances are provided if, based upon the weight of available evidence, it is more likely than not that some or all of the deferred tax assets will not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excess of their net recorded amount, management would make an adjustment to the deferred tax asset valuation allowance, which would reduce the provision for income taxes.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to the extent that the position is more likely than not to be sustained on examination by the taxing authorities based on the technical merits of the position as well as consideration of the available facts and circumstances. The Company records interest and penalties related to uncertain tax positions, if applicable, as a component of income tax expense.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final maturities of three months or less from the date of purchase to be cash equivalents. Cash and cash equivalents include cash held in banks and amounts held in interest-bearing money market funds, U.S. treasury securities, U.S. Government agency securities, and commercial paper.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investments are comprised of U.S. government agency securities, U.S. treasury securities, commercial paper and corporate debt securities. Investments are classified at the time of purchase, based on management’s intent, as held-to-maturity, available-for-sale, or trading. All of the Company’s marketable security investments are classified as available-for-sale securities and are reported at fair market value using quoted prices in active markets for similar securities. The cost of securities sold is determined on a specific identification basis, and realized gains and losses are included as a component of other income within the condensed consolidated statements of operations and comprehensive loss. Unrealized gains and losses are included within the condensed consolidated statements of comprehensive loss.</w:t>
      </w:r>
    </w:p>
    <w:p>
      <w:pPr>
        <w:spacing w:after="0" w:line="18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assesses its available-for-sale securities under the available-for-sale security impairment model in ASU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Instruments-Credit Losses (Topic 326): Measurement of Credit Losses on Financial Statements </w:t>
      </w:r>
      <w:r>
        <w:rPr>
          <w:rFonts w:ascii="Times New Roman" w:cs="Times New Roman" w:eastAsia="Times New Roman" w:hAnsi="Times New Roman"/>
          <w:sz w:val="18"/>
          <w:szCs w:val="18"/>
          <w:color w:val="auto"/>
        </w:rPr>
        <w:t>as of each reporting date in order to determine if a 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decline in fair value below carrying value is the result of a credit loss for its available-for-sale securities. The Company records credit losses for its available-for-sale securities in the condensed consolidated statements of operations and comprehensive loss as credit loss expense, which is limited to the difference between the fair value and the amortized cost of the security. To date, the Company has not recorded any credit losses on its available-for-sale securities. Declines in fair value below carrying value attributable to non-credit related factors are recorded as accumulated other comprehensive loss, which is a separate component of stockholders’ equity.</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classifies its available-for-sale securities that mature within one year from the balance sheet date as current assets on the condensed consolidated balance sheets. Available-for-sale securities that mature more than one year from the balance sheet date are classified as non-current assets on the condensed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determines the initial classification and measurement of its right-of-use assets and lease liabilities at the lease commencement date and thereafter if modified. The lease term includes any renewal options and termination options that the Company is reasonably assured to exercise. The present value of lease payments is determined by using the interest rate implicit in the lease, if that rate is readily determinable; otherwise, the Company uses its incremental borrowing rate. The incremental borrowing rate is determined by using the rate of interest that the Company would pay to borrow on a collateralized basis an amount equal to the lease payments for a similar term and in a similar economic environment.</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Fixed lease expense for operating leases is recognized on a straight-line basis, unless the right-of-use assets have been impaired, over the reasonably assured lease term based on the total lease payments and is included in operating expenses in the statements of operations and comprehensive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firstLine="509"/>
        <w:spacing w:after="0" w:line="226" w:lineRule="exact"/>
        <w:rPr>
          <w:sz w:val="20"/>
          <w:szCs w:val="20"/>
          <w:color w:val="auto"/>
        </w:rPr>
      </w:pPr>
      <w:r>
        <w:rPr>
          <w:rFonts w:ascii="Times New Roman" w:cs="Times New Roman" w:eastAsia="Times New Roman" w:hAnsi="Times New Roman"/>
          <w:sz w:val="18"/>
          <w:szCs w:val="18"/>
          <w:color w:val="auto"/>
        </w:rPr>
        <w:t>The Company evaluates pre-funded warrants under FASB ASC Topic 480, Distinguishing Liabilities from Equity and FASB ASC Topic 815, Derivatives and Hedging (“ASC 815”) to determine whether the warrants should be classified as liabilities or equity. Pre-funded warrants are classified as stockholders’ equity when they are (i) indexed to the Company’s own stock and (ii) meet all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classification conditions in ASC 815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 Proceeds received upon issuance of pre-funded warrants are recorded to 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Upon exercise, the Company records proceeds to common stock and 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Because the exercise</w:t>
      </w:r>
    </w:p>
    <w:p>
      <w:pPr>
        <w:sectPr>
          <w:pgSz w:w="11900" w:h="16838" w:orient="portrait"/>
          <w:cols w:equalWidth="0" w:num="1">
            <w:col w:w="11240"/>
          </w:cols>
          <w:pgMar w:left="320" w:top="117"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price is nominal,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are included in basic and diluted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shares outstanding beginning on the issuance date but are not reflected as legally outstanding shares until exercised.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issues equity-based awards to employees, managers, executives, non-employees and service providers in the form of restricted common stock, restricted stock units, and stock options. The Company accounts for equity-based compensation awards in accordance with FASB ASC Topic 718, Compensation-Stock Compensation.</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fair value of the Company’s common stock underlying its equity awards is based on the quoted market price of the Company’s common stock on the grant date. The Company estimates the fair value of its stock options using the Black-Scholes option pricing model, which uses as inputs the fair value of the Company’s common stock, and certain management estimates, including the expected stock price volatility, the expected term of the award, the risk-free rate, and expected dividends. Expected volatility is estimated using a combination of the Company’s historical stock price volatility and historical volatility data from a representative group of comparable publicly traded companies. The Company computes historical volatility using daily closing prices over a period that approximates the expected term of the equity-based awards.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lack of historical exercise data. The expected dividend yield is assumed to be zero as the Company has no current plans to pay any dividends on common stock. The fair value of the restricted stock units are based on the Company’s stock price on the date of the grant.</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generally issues equity awards that are subject to either service-based vesting conditions and in limited instances, service-based and performance-based vesting conditions. Compensation expense for awards issued to grantees with service-based vesting conditions are recognized on a straight-line basis based on the grant date fair value over the associated requisite service period of the award, which is generally the vesting term. Compensation expense for awards to grantees with service-based and performance-based vesting conditions are recognized based on the grant-date fair value over the requisite service period using the accelerated attribution method to the extent achievement of the performance condition is probable. As of each reporting date, the Company estimates the probability that specified performance criteria will be met and does not recognize compensation expense until it is probable that the performance-based vesting condition will be achieved.</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evaluates whether an equity award should be classified and accounted for as a liability award or equity award for all equity-based compensation awards granted. As of March 31, 2026, all of the Company’s equity-based awards were equity classified. Forfeitures are recognized as they occur. The Company classifies equity-based compensation expense in the accompanying consolidated statements of operations and comprehensive loss in the same manner in which the award recipient’s salary and related costs are classified or in which the award recipient’s service payments are classified, as applicable.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Suppliers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credit risk primarily consist of cash, cash equivalents and marketable securities. The Company’s investment portfolio is comprised of money market funds, debt securities issued by U.S. government and corporate debt securities. The Company maintains its deposits with accredited financial institutions and, consequently, the Company does not believe it is subject to unusual credit risk beyond the normal credit risk associated with commercial banking relationships. Bank accounts in the United States are insured by the Federal Deposit Insurance Corporation (“FDIC”) up to $250,000. As of March 31, 2026 and December 31, 2025, predominantly all of the Company’s primary operating accounts significantly exceeded the FDIC limits.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dependent on third-party organizations to research, develop, manufacture and process its product candidates for its development programs. In particular, the Company currently relies on a limited number of third-party manufacturers for preclinical, clinical, and future commercial manufacturing activities. The Company expects to continue to be dependent on a small number of manufacturers to supply it with its requirements for all products. The Company’s research and development programs could be adversely affected by a significant interruption in the supply of the necessary materials.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no off-balance sheet risks such as foreign exchange contracts, option contracts or other foreign hedging arrangements.</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events other than those with stockholders. The Company’s unrealized gains and losses on marketable securities represent the only component of other comprehensive loss that are excluded from the reported net loss and that are presented in the condensed consolidated statements of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outstanding comprised of voting and non-voting shares. The rights of the holders of voting and non-voting shares are identical, except with respect to voting and conversion. Each share of non-voting stock may be converted into one share of voting stock at any time at the option of the stockholder, subject to certain beneficial ownership limitations. Net loss per share for each class of common stock issued is the same as they are entitled to the same liquidation and dividend rights.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calculates basic net loss per common share by dividing net loss by the weighted-average number of common shares outstanding for the period, which includes pre-funded warrants to purchase common stock. The Company has generated a net loss in the periods presented so the basic and diluted net loss per share are the same as the inclusion of the potentially dilutive securities would be anti-dilutive.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80" w:lineRule="exact"/>
        <w:rPr>
          <w:sz w:val="20"/>
          <w:szCs w:val="20"/>
          <w:color w:val="auto"/>
        </w:rPr>
      </w:pPr>
    </w:p>
    <w:p>
      <w:pPr>
        <w:jc w:val="both"/>
        <w:ind w:firstLine="509"/>
        <w:spacing w:after="0" w:line="231" w:lineRule="exact"/>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03, Disaggregation of Income Statement Expenses</w:t>
      </w:r>
      <w:r>
        <w:rPr>
          <w:rFonts w:ascii="Times New Roman" w:cs="Times New Roman" w:eastAsia="Times New Roman" w:hAnsi="Times New Roman"/>
          <w:sz w:val="18"/>
          <w:szCs w:val="18"/>
          <w:color w:val="auto"/>
        </w:rPr>
        <w:t>, which requires additional disclosures related to specified income statement expense categories on an annual and interim basis. The guidance is effective for annual periods beginning after December 15, 2026, and interim periods beginning after December 15, 2027, with early adoption permitted. The guidance may be applied prospectively or retrospectively. The Company is currently evaluating the impact of this guidance on its disclosures.</w:t>
      </w:r>
    </w:p>
    <w:p>
      <w:pPr>
        <w:spacing w:after="0" w:line="304"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summary of the Company’s investing portfolio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gridSpan w:val="5"/>
          </w:tcPr>
          <w:p>
            <w:pPr>
              <w:jc w:val="right"/>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1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274,711</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 issued by U.S. government agencies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maturities within one year</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608,184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608,088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Maturities between one and two years:</w:t>
            </w:r>
          </w:p>
        </w:tc>
        <w:tc>
          <w:tcPr>
            <w:tcW w:w="11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155,403</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 issued by U.S. government agencies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maturities between one and two years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807,191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806,442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85"/>
        </w:trPr>
        <w:tc>
          <w:tcPr>
            <w:tcW w:w="468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6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-1782445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-1782445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-1782445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-1782445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-1224915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-1224915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-1224915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-933450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-916305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-933450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-916305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-933450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-916305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3"/>
          </w:tcPr>
          <w:p>
            <w:pPr>
              <w:jc w:val="right"/>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9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221,182</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10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 issued by U.S. government agencies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127,796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69,534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maturities within one year</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597,742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Maturities between one and two years:</w:t>
            </w:r>
          </w:p>
        </w:tc>
        <w:tc>
          <w:tcPr>
            <w:tcW w:w="9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128,396</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10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 issued by U.S. government agencies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maturities between one and two years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172,559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770,301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771,373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-873760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-873760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-873760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-316865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-316865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-316865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172 securities with a total fair market value of $527.7 million in an unrealized loss position. The Company does not intend to sell its investments before recovery of the amortized cost basis of its debt securities at maturity and no allowance for credit losses was recorded as of March 31, 2026 and December 31, 2025. Securities are evaluated at the end of each reporting period. The Company did not record any impairment related to its marketable securities during the three months ended March 31, 2026 and 2025.</w:t>
      </w:r>
    </w:p>
    <w:p>
      <w:pPr>
        <w:spacing w:after="0" w:line="284"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and indicates the level of fair value hierarchy utilized to determine such values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441,502</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429,627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 issued by U.S. government agencies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874,319</w:t>
            </w:r>
          </w:p>
        </w:tc>
        <w:tc>
          <w:tcPr>
            <w:tcW w:w="24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376,815</w:t>
            </w:r>
          </w:p>
        </w:tc>
        <w:tc>
          <w:tcPr>
            <w:tcW w:w="240" w:type="dxa"/>
            <w:vAlign w:val="bottom"/>
            <w:gridSpan w:val="2"/>
            <w:shd w:val="clear" w:color="auto" w:fill="CFF0FC"/>
          </w:tcPr>
          <w:p>
            <w:pPr>
              <w:spacing w:after="0"/>
              <w:rPr>
                <w:sz w:val="19"/>
                <w:szCs w:val="19"/>
                <w:color w:val="auto"/>
              </w:rPr>
            </w:pPr>
          </w:p>
        </w:tc>
        <w:tc>
          <w:tcPr>
            <w:tcW w:w="92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Debt securities issued by U.S. government agencies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142,716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208,944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208,944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442,729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447,644</w:t>
            </w:r>
          </w:p>
        </w:tc>
        <w:tc>
          <w:tcPr>
            <w:tcW w:w="1160" w:type="dxa"/>
            <w:vAlign w:val="bottom"/>
            <w:gridSpan w:val="3"/>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6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6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-2691130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-2673985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-2691130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-2673985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-2691130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-2673985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-2691130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-2673985</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-1062355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-1062355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-1062355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Prepaids and Other Assets</w:t>
      </w:r>
    </w:p>
    <w:p>
      <w:pPr>
        <w:spacing w:after="0" w:line="229" w:lineRule="exact"/>
        <w:rPr>
          <w:rFonts w:ascii="Times New Roman" w:cs="Times New Roman" w:eastAsia="Times New Roman" w:hAnsi="Times New Roman"/>
          <w:sz w:val="18"/>
          <w:szCs w:val="18"/>
          <w:b w:val="1"/>
          <w:bCs w:val="1"/>
          <w:color w:val="231F20"/>
        </w:rPr>
      </w:pPr>
    </w:p>
    <w:p>
      <w:pPr>
        <w:ind w:left="52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Prepaid expenses and other current assets consisted of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manufacturing</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Prepaid clinical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other</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$8.3 million and $8.5 million, respectively, in long-term prepayments, made in conjunction with the Company's research and development activities, classified within other non-current assets.</w:t>
      </w:r>
    </w:p>
    <w:p>
      <w:pPr>
        <w:spacing w:after="0" w:line="266"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Property and Equipment, net</w:t>
      </w:r>
    </w:p>
    <w:p>
      <w:pPr>
        <w:spacing w:after="0" w:line="229" w:lineRule="exact"/>
        <w:rPr>
          <w:rFonts w:ascii="Times New Roman" w:cs="Times New Roman" w:eastAsia="Times New Roman" w:hAnsi="Times New Roman"/>
          <w:sz w:val="18"/>
          <w:szCs w:val="18"/>
          <w:b w:val="1"/>
          <w:bCs w:val="1"/>
          <w:color w:val="231F20"/>
        </w:rPr>
      </w:pPr>
    </w:p>
    <w:p>
      <w:pPr>
        <w:ind w:left="52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Property and Equipment, net consisted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(1,608)</w:t>
            </w:r>
          </w:p>
        </w:tc>
      </w:tr>
      <w:tr>
        <w:trPr>
          <w:trHeight w:val="20"/>
        </w:trPr>
        <w:tc>
          <w:tcPr>
            <w:tcW w:w="7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recognized $0.4 million and $0.2 million of depreciation expense for the three months ended March 31, 2026 and 2025, respectively.</w:t>
      </w:r>
    </w:p>
    <w:p>
      <w:pPr>
        <w:spacing w:after="0" w:line="329"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Accrued Expenses</w:t>
      </w:r>
    </w:p>
    <w:p>
      <w:pPr>
        <w:spacing w:after="0" w:line="229" w:lineRule="exact"/>
        <w:rPr>
          <w:rFonts w:ascii="Times New Roman" w:cs="Times New Roman" w:eastAsia="Times New Roman" w:hAnsi="Times New Roman"/>
          <w:sz w:val="18"/>
          <w:szCs w:val="18"/>
          <w:b w:val="1"/>
          <w:bCs w:val="1"/>
          <w:color w:val="231F20"/>
        </w:rPr>
      </w:pPr>
    </w:p>
    <w:p>
      <w:pPr>
        <w:ind w:left="52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Accrued expenses consisted of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expenses</w:t>
            </w:r>
          </w:p>
        </w:tc>
        <w:tc>
          <w:tcPr>
            <w:tcW w:w="3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Accrued manufacturing expenses</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3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30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28,577</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4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7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Significant Agreements</w:t>
      </w:r>
    </w:p>
    <w:p>
      <w:pPr>
        <w:spacing w:after="0" w:line="22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Paragon Option and License Agreements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No research and development expense related to services provided by Paragon Therapeutics, Inc. (“Paragon”) under the Option and License Agreements (as defined below) was recognized for the three months ended March 31, 2026. For the three months ended March 31, 2025, the Company recognized an immaterial amount of research and development expense in connection with services provided by Paragon under the Option and License Agreements (as defined below).</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Option Agreements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2022, the Company entered into an antibody discovery and option agreement with Paragon, which was subsequently amended in November 2022 (as amended, the “2022 Option Agreement”). Under the terms of the 2022 Option Agreement, Paragon identifies, evaluates and develops antibodies directed against certain mutually agreed therapeutic targets of interest to the Company. The 2022 Option Agreement initially included two selected targets, IL-13 and IL-4Rα, and was subsequently amended in November 2022 to include an additional selected target, OX40L. Under the 2022 Option Agreement, the Company has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 (each, an “Option”). From time to time, the Company can choose to add additional targets to the collaboration by mutual agreement with Paragon.</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terms of the 2022 Option Agreement, the parties initiated certain research programs that generally focused on a particular target (each, a “Research Program”). Each Research Program is aimed at discovering, generating, identifying and/or characterizing antibodies directed to the respective target. For each Research Program, the parties established a research plan that sets forth the activities that will be conducted, and the associated research budget (each, a “Research Plan”). Upon execution of the 2022 Option Agreement, the Company agreed with Paragon on an initial Research Plan that outlined the services that will be performed commencing at inception of the arrangement related to IL-13 and IL-4Rα. The Research Plan for OX40L was agreed to prior to December 31, 2022. The Company's exclusive option with respect to any future Research Program is exercisable at the Company's sole discretion at any time during the period beginning on the initiation of activities under the associated Research Program and ending a specified number of days following the delivery of the data package from Paragon related to the results of the Research Plan activities (the “Option Period”). There is no payment due upon exercise of an Option pursuant to the 2022 Option Agreement.</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consideration for the exclusive options granted under the 2022 Option Agreement, the Company paid an upfront cash amount of $1.3 million and issued 1,250,000 common units to Paragon. Paragon was also entitled to up to an additional 3,750,000 of common units in exchange for the rights granted under the 2022 Option Agreement, which were issued in connection with the closings of the additional tranches of the Series A preferred unit financing. Under the 2022 Option Agreement, on a Research Program-by-Research Program basis following the finalization of the Research Plan for each respective Research Program, the Company is required to pay Paragon a nonrefundable fee in cash of $0.5 million. The Company is also obligated to compensate Paragon on a quarterly basis for its services performed under each Research Program based on the actual costs incurred.</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Company entered into an additional antibody discovery and option agreement with Paragon (the “2023 Option Agreement” and together with the 2022 Option Agreement, collectively, the “Option Agreements”). Under the terms of the 2023 Option Agreement, Paragon identifies, evaluates and develops antibodies directed against certain mutually agreed therapeutic targets of interest to the Company. The 2023 Option Agreement initially includes one target, TSLP. Under the 2023 Option Agreement, the Company has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 From time to time, the Company can choose to add additional targets to the collaboration by mutual agreement with Paragon.</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terms of the 2023 Option Agreement, the parties may initiate Research Programs. Each Research Program will be aimed at discovering, generating, identifying and/or characterizing antibodies directed to the respective target. For each Research Program, the parties must establish a Research Plan. In January 2024, the Company and Paragon agreed on an initial Research Plan that outlined the services that will be performed commencing at inception of the arrangement related to TSLP. The Company's exclusive option with respect to each Research Program is exercisable at the Company's sole discretion at any time during the period beginning on the initiation of activities under the associated Research Program and ending a specified number of days following the delivery of</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data package from Paragon related to the results of the Research Plan activities. There is no payment due upon exercise of an Option pursuant to the 2023 Option Agreement.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2023 Option Agreement, on a Research Program-by-Research Program basis following the finalization of the Research Plan for each respective Research Program, the Company is required to pay Paragon a nonrefundable fee in cash of $2.0 million. The Company is also obligated to compensate Paragon on a quarterly basis for its services performed under each Research Program based on the actual costs incurred. The Company expenses the service fees as the associated costs are incurred when the underlying services are rendered. In January 2024, the Company finalized the Research Plan with Paragon related to the TSLP target. As such, the Company made a one-time non-refundable payment of $2.0 million to Paragon in the first quarter of 2024.</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Unless terminated earlier, the Option Agreements shall continue in force on a Research Program-by-Research Program basis until the earlier of: (i) the end of the Option Period for such Research Program, as applicable, if such Option is not exercised by the Company; and (ii) the effective date of the license agreement for such Research Program if the Company exercises its Option with respect to such Research Program (the “Term”). Upon the expiration of the Term for all then-existing Research Programs, the applicable Option Agreement, will automatically expire in its entirety. The Company may terminate either Option Agreement or any Research Program at any time for any or no reason upon 30 days’ prior written notice to Paragon, provided that the Company must pay certain unpaid fees due to Paragon upon such termination, as well as any non-cancellable obligations reasonably incurred by Paragon in connection with its activities under any terminated Research Program. Each party has the right to terminate either Option Agreement or any Research Program upon (i) 30 days’ prior written notice of the other party’s material breach that remains uncured for the 30-day period and (ii) the other party’s bankruptcy.</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November 2022, the Company exercised its option available under the 2022 Option Agreement with respect to the IL-13 Research Program. Upon such exercise, the parties entered into an associated license agreement (the “IL-13 License Agreement”). In April 2023, the Company exercised its option available under the 2022 Option Agreement with respect to the IL- 4Rα Research Program and the OX40L Research Program. Upon such exercise, the parties entered into associated license agreements (the “IL-4Rα License Agreement” and the “OX40L License Agreement,” respectively). In August 2024, the Company exercised its option available under the 2023 Option Agreement with respect to the TSLP Research Program and entered into the associated license agreement (the “TSLP License Agreement” and collectively with the IL-13 License Agreement, the IL-4Rα License Agreement and the OX40L License Agreement, the “License Agreements”). Under the terms of the License Agreements, Paragon granted to the Company an exclusive, worldwide, royalty-bearing, sublicensable right and license with respect to certain information, patent rights and sequence information related to antibodies directed at the respective target to use, make, sell, import, export and otherwise exploit the antibodies directed at the respective target. Pursuant to the License Agreements, the Company granted to Paragon a similar license (except that such license the Company granted to Paragon is non-exclusive) to the respective licenses with respect to multispecific antibodies that are directed at the respective targets and one or more other antibodies. The Company was also granted a right of first negotiation with Paragon concerning the development, license and grant of rights to certain multispecific antibodies associated with each respective license. The Company is solely responsible for the continued development, manufacture and commercialization of products at its own cost and expense for each licensed target.</w:t>
      </w:r>
    </w:p>
    <w:p>
      <w:pPr>
        <w:spacing w:after="0" w:line="19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IL-13 License Agreement, the IL-4Rα License Agreement and the OX40L License Agreement, the Company is obligated to pay Paragon up to $3.0 million upon the achievement of specific development and clinical milestones for the first product under each of the License Agreements that achieves such specified milestones, including a payment of $1.0 million upon the nomination of a development candidate and $2.0 million upon the first dosing of a human patient in a Phase 1 trial. Under the TSLP License Agreement, the Company is obligated to pay Paragon up to $28.0 million upon the achievement of specific development and clinical milestones for the first product, including a payment of $3.0 million upon the nomination of a development candidate and $5.0 million upon the first dosing of a human patient in a Phase 1 trial.</w:t>
      </w:r>
    </w:p>
    <w:p>
      <w:pPr>
        <w:spacing w:after="0" w:line="147" w:lineRule="exact"/>
        <w:rPr>
          <w:sz w:val="20"/>
          <w:szCs w:val="20"/>
          <w:color w:val="auto"/>
        </w:rPr>
      </w:pPr>
    </w:p>
    <w:p>
      <w:pPr>
        <w:jc w:val="both"/>
        <w:ind w:firstLine="509"/>
        <w:spacing w:after="0" w:line="223" w:lineRule="exact"/>
        <w:rPr>
          <w:sz w:val="20"/>
          <w:szCs w:val="20"/>
          <w:color w:val="auto"/>
        </w:rPr>
      </w:pPr>
      <w:r>
        <w:rPr>
          <w:rFonts w:ascii="Times New Roman" w:cs="Times New Roman" w:eastAsia="Times New Roman" w:hAnsi="Times New Roman"/>
          <w:sz w:val="18"/>
          <w:szCs w:val="18"/>
          <w:color w:val="auto"/>
        </w:rPr>
        <w:t>Upon execution of the 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 License Agreement, the Company paid Paragon a $1.0 million fee for the nomination of a development candidate. In August 2023, the Company announced the dosing of its first participant in the Phase 1 trial of zumilokibart (APG777) and made a milestone payment of $2.0 million in the fourth quarter of 2023. In November 2023, the Company finalized the nomination of a development candidate under the 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4Rα License Agreement and made a milestone payment of $1.0 million to Paragon in the fourth quarter of 2023. In March 2024, the Company announced the dosing of its first participant in a Phase 1 trial of APG808 and made a milestone payment of $2.0 million to Paragon in the first quarter of 2024. In May 2024, the Company finalized the nomination of a development candidate under the OX40L License Agreement and made a milestone payment of $1.0 million to Paragon in the second quarter of 2024. In August 2024, the Company announced the dosing of its first participant in the Phase 1 trial of APG990 and made a milestone payment of $2.0 million to Paragon in the third quarter of 2024. In October 2024, the Company finalized the nomination of a development candidate under the TSLP License Agreement and made a milestone payment of $3.0 million to Paragon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fourth quarter of 2024. In December 2024, the Company announced the dosing of its first participant in the Phase 1 trial of APG333 and made a milestone payment of $5.0 million in the fourth quarter of 2024.</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also obligated to pay royalties to Paragon equal to a low-single digit percentage of net sales of any products under each of the respective License Agreements, and Paragon has a similar obligation to pay royalties to the Company with respect to each of the multispecific licenses.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(the “Royalty Term”).</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Unless earlier terminated, the License Agreements remain in effect until the expiration of the last-to-expire Royalty Term for any and all products associated with the respective license. The Company may terminate the agreement in its entirety or on a country-by-country or product-by-product at any time for any or no reason upon 60 days’ advance written notice to Paragon, and either party may terminate for (i) the other party’s material breach that remains uncured for 90 days (or 30 days with respect to any failure to make payments) following notice of such breach and (ii) the other party’s bankruptcy. Upon any termination prior to the expiration of a License Agreement, all licenses and rights granted pursuant to such License Agreement will automatically terminate and revert to the granting party and all other rights and obligations of the parties will terminate.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Biologics Master Services Agreement — WuXi Biologics (Hong Kong) Limited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June 2022, Paragon and WuXi Biologics (Hong Kong) Limited (“WuXi Biologics”) entered into a biologics master services agreement (the “WuXi Biologics MSA”), which was subsequently novated to the Company by Paragon in the second quarter of 2023. The WuXi Biologics MSA governs all development activities and GMP manufacturing and testing for zumilokibart (APG777), APG990, APG333 and APG808, as well as potential future product candidates, on a work order basis. Under the WuXi Biologics MSA, the Company is obligated to pay WuXi Biologics a service fee and all non-cancellable obligations in the amount specified in each work order associated with the agreement for the provision of services.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WuXi Biologics MSA terminates on the later of (i) June 20, 2027 or (ii) the completion of services under all work orders executed by the parties prior to June 20, 2027, unless terminated earlier. The term of each work order terminates upon completion of the services under such work order, unless terminated earlier. The Company can terminate the WuXi Biologics MSA or any work order at any time upon 30 days’ prior written notice and immediately upon written notice if WuXi Biologics fails to obtain or maintain required material governmental licenses or approvals. Either party may terminate a work order (i) at any time upon six months’ prior notice with reasonable cause, provided however that if WuXi Biologics terminates a work order in such manner, no termination or cancellation fees shall be paid by the Company and (ii) immediately for cause upon (a) the other party’s material breach that remains uncured for 30 days after notice of such breach, (b) the other party’s bankruptcy or (c) a force majeure event that prevents performance for a period of at least 90 days.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March 31, 2025, the Company recognized $5.2 million and $1.2 million, respectively, of research and development expense in connection with the WuXi Biologics MSA.</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Cell Line License Agreement — WuXi Biologics (Hong Kong) Limited</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June 2022, Paragon and WuXi Biologics entered into a cell line license agreement (the “Cell Line License Agreement”), which was subsequently novated to the Company by Paragon in the second quarter of 2023. Under the Cell Line License Agreement, the Company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to manufacture zumilokibart (APG777), APG990, APG333 and APG808.</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license, the Company has paid WuXi Biologics a non-refundable license fee of $150,000. Additionally, if the Company manufactures all of its commercial supplies of bulk drug product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Cell Line License Agreement will continue indefinitely unless terminated (i) by the Company upon six months’ prior written notice and the payment of all undisputed amounts due to WuXi Biologics through the effective date of termination, (ii) by WuXi Biologics for a material breach by the Company that remains uncured for 60 days after written notice, (iii) by WuXi Biologics if the Company fails to make a payment and such failure continues for 30 days after receiving notice of such failure, or (iv) by either party upon the other party’s bankruptcy.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Master Services Agreement and Project Specific Agreements — Samsung Biologics Limited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2025, the Company entered into a Master Services Agreement (the “Samsung Biologics MSA”), made effective as of February 28, 2025, with Samsung Biologics Co., Ltd. (“Samsung Biologics”), pursuant to which Samsung Biologics will manufacture and supply the Company with zumilokibart (APG777) drug substance (the “Samsung Biologics Product”) for clinical development and commercial sale, if approved. The Company is obligated to pay Samsung Biologics service fees for each manufactured batch, as well as the costs of materials purchased by Samsung Biologics and expenses including testing and storage, which such costs and fees will be specified in Project Specific Agreements (each a “PSA”).</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Also in March 2025, the Company entered into a PSA (the “Initial PSA”) with Samsung Biologics, made effective as of February 28, 2025, pursuant to which Samsung Biologics will produce clinical batches of the Samsung Biologics Product at its facility in Incheon, South Korea, perform process characterization and validation, and manufacture process performance qualification lots of the Samsung Biologics Product. Under the Initial PSA, the Company must purchase certain minimum quantities of the Samsung Biologics Product and has agreed to pay Samsung Biologics as determined pursuant to the terms of the Initial PSA.</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Samsung Biologics MSA will terminate in February 2035, or, if a PSA is still in effect, when such PSA terminates, and may be extended upon mutual agreement of the parties. The Initial PSA will terminate in December 2034. Either the Company or Samsung Biologics may terminate the Samsung Biologics MSA or the Initial PSA in the event of an uncured material breach by, insolvency of or inability to perform due to a force majeure event by the other party. In the event all applicable PSAs have been terminated, Samsung Biologics has agreed to provide assistance with certain technology transfer matters, subject to exceptions. If the Company terminates the Samsung Biologics MSA or Initial PSA without cause, the Company will generally be responsible for paying the purchase price for the Company’s aggregate product commitment for the remainder of the term, less any amounts the Company has already paid.</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February 2026, the Company entered into a separate PSA with Samsung that would provide for the commercial manufacture of zumilokibart (APG777) drug substance should the program eventually receive regulatory approval. If specific circumstances render Apogee unable to proceed with commercial distribution, the PSA provides for Samsung to receive compensation, including for contractually obligated expenses, and an exit fee in the high single-digit millions.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$0.4 million and $1.7 million, respectively, of research and development expense in connection with the Samsung Biologics MSA.</w:t>
      </w:r>
    </w:p>
    <w:p>
      <w:pPr>
        <w:spacing w:after="0" w:line="266" w:lineRule="exact"/>
        <w:rPr>
          <w:sz w:val="20"/>
          <w:szCs w:val="20"/>
          <w:color w:val="auto"/>
        </w:rPr>
      </w:pPr>
    </w:p>
    <w:p>
      <w:pPr>
        <w:ind w:left="520" w:right="8180" w:hanging="512"/>
        <w:spacing w:after="0" w:line="440" w:lineRule="auto"/>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Other Contracts</w:t>
      </w:r>
    </w:p>
    <w:p>
      <w:pPr>
        <w:spacing w:after="0" w:line="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Currently, all of the Company’s preclinical, clinical and commercial drug manufacturing, storage, distribution or quality testing are outsourced to third-party manufacturers. As development programs progress and new process efficiencies are built, the Company expects to continually evaluate this strategy with the objective of satisfying demand for registration trials and, if approved, the manufacture, sale and distribution of commercial products. Under such agreements, the Company is contractually obligated to make certain payments to vendors upon early termination, including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and/or indemnification sections in other agreements in the ordinary course of business. Pursuant to the agreements, the Company indemnifies, holds harmless, and agrees to reimburse the indemnified party for losses suffered or incurred by the indemnified party, generally the Company’s business partners. The term of these indemnification agreements is generally perpetual any time after execution of the agreement. There is no limit to the maximum potential amount of future payments the Company could be required to make under these indemnification agreements. As of March 31, 2026, the</w:t>
      </w:r>
    </w:p>
    <w:p>
      <w:pPr>
        <w:sectPr>
          <w:pgSz w:w="11900" w:h="16838" w:orient="portrait"/>
          <w:cols w:equalWidth="0" w:num="1">
            <w:col w:w="11240"/>
          </w:cols>
          <w:pgMar w:left="320" w:top="117"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has not incurred costs to defend lawsuits or settle claims related to these indemnification agreements. The Company was not aware of any claims under these indemnification arrangements as of March 31, 2026 and December 31, 2025.</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not currently party to any material legal proceedings. At each reporting date, the Company evaluates whether or not a potential loss amount or a potential range of loss is probable and reasonably estimable under the provisions of FASB ASC Topic 450, Contingencies (“ASC 450”). The Company expenses as incurred the costs related to its legal proceedings.</w:t>
      </w:r>
    </w:p>
    <w:p>
      <w:pPr>
        <w:spacing w:after="0" w:line="280"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July 2023, the Company completed its initial public offering (“IPO”), selling an aggregate of 20,297,500 shares of common stock. Net proceeds were $315.4 million, after deducting underwriting discounts and commissions and other offering expenses. All outstanding preferred units were exchanged into 24,987,750 shares of common stock in connection with the IPO. Following the IPO, the Company is authorized to issue up to 400,000,000 shares of common stock, par value $0.00001.</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March 2024, the Company issued and sold an aggregate of 7,790,321 shares of its common stock in an underwritten public offering. Net proceeds were $450.0 million, after deducting underwriting discounts and commissions and other offering expenses.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August 2024, the Company entered into an Open Market Sale Agreement (the “Sale Agreement”) with Jefferies LLC (the “Sales Agent”), pursuant to which the Company may offer and sell shares of common stock up to a maximum aggregate offering price of $300.0 million through an at-the-market offering program. In December 2024, the Company sold 926,049 shares of common stock under the ATM Facility for gross proceeds of $44.9 million, less commissions and other offering expenses of $1.4 million. During the year ended December 31, 2025, the Company sold 1,175,701 shares of common stock under the ATM Facility for gross proceeds of $67.6 million, less commissions and other offering expenses of $2.0 million. During the three months ended March 31, 2026, the Company sold 369,220 shares of common stock under the ATM Facility for gross proceeds of $29.7 million, less commissions and other offering expenses of $0.8 million. As of March 31, 2026, $157.8 million remained available for sale under the Sale Agreement.</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October 2025, the Company issued and sold an aggregate of 8,048,782 shares of its common stock and in lieu of common stock to certain investors, pre-funded warrants to purchase up to 365,853 shares of common stock in an underwritten public offering. Net proceeds were $324.1 million, after deducting underwriting discounts and commissions and other offering expenses.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March 2026, the Company issued and sold an aggregate of 5,750,000 shares of its common stock in an underwritten public offering. Net proceeds were $377.4 million, after deducting underwriting discounts and commissions and other offering expenses.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75,323,726 and 74,882,396 shares of common stock were issued and outstanding, respectively. The 75,323,726 shares of common stock issued are comprised of 61,395,754 shares of voting common stock, 13,486,642 shares of non-voting common stock and 441,330 shares of unvested restricted common stock.</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69,038,943 and 68,401,349 shares of common stock were issued and outstanding, respectively. The 69,038,943 shares of common stock issued are comprised of 54,914,707 shares of voting common stock, 13,486,642 shares of non-voting common stock and 637,594 shares of unvested restricted common stock.</w:t>
      </w:r>
    </w:p>
    <w:p>
      <w:pPr>
        <w:spacing w:after="0" w:line="135"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Shares underlying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are excluded from shares of common stock issued and outstanding for all periods presented.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80" w:lineRule="exact"/>
        <w:rPr>
          <w:sz w:val="20"/>
          <w:szCs w:val="20"/>
          <w:color w:val="auto"/>
        </w:rPr>
      </w:pPr>
    </w:p>
    <w:p>
      <w:pPr>
        <w:jc w:val="both"/>
        <w:ind w:firstLine="509"/>
        <w:spacing w:after="0" w:line="236" w:lineRule="exact"/>
        <w:rPr>
          <w:sz w:val="20"/>
          <w:szCs w:val="20"/>
          <w:color w:val="auto"/>
        </w:rPr>
      </w:pPr>
      <w:r>
        <w:rPr>
          <w:rFonts w:ascii="Times New Roman" w:cs="Times New Roman" w:eastAsia="Times New Roman" w:hAnsi="Times New Roman"/>
          <w:sz w:val="18"/>
          <w:szCs w:val="18"/>
          <w:color w:val="auto"/>
        </w:rPr>
        <w:t>In October 2025, the Company issued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up to 365,853 shares of common stock at an exercise price of $0.00001 per share.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were exercisable immediately and are not subject to expiration. As of March 31, 2026, none of the pre-funded warrants have been exercised.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summary of the unvested restricted common stock award activity during the three months ended March 31, 2026: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common stock as of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637,594</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 as of March 31, 2026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441,330</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restricted common stock awards vested during the three months ended March 31, 2026 was $1.0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Restricted Stock Units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July 2023, in connection with the IPO, the Company’s Board of Directors (the “Board”) and stockholders approved the 2023 Equity Incentive Plan (the “2023 Plan”), which became effective on July 13, 2023. The 2023 Plan provides for the grant of incentive stock options, non-qualified stock options, stock appreciation rights, awards of restricted stock, restricted stock units and other stock-based awards. As of March 31, 2026, 7,804,838 shares of common stock were available for future grant under the 2023 Plan. The number of shares available for grant and issuance under the 2023 Plan is automatically increased on January 1 of each year by a number of shares equal to up to 5% of the outstanding shares of common stock on such date.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Company uses the Black-Scholes option pricing model to estimate the fair value of stock options granted with the following assumptions: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92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924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3.6% - 4.0%</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6.0 - 6.25</w:t>
            </w:r>
          </w:p>
        </w:tc>
      </w:t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74.4% - 75.2%</w:t>
            </w:r>
          </w:p>
        </w:tc>
      </w:tr>
    </w:tbl>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summary of stock option activity during the three months ended March 31, 2026: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5,610,444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1,395,882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(139,814)</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(25,076)</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6,841,436</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268,156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2,165,555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-173990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-156845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intrinsic value of options exercised during the three months ended March 31, 2026 was $6.3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summary of the unvested restricted stock unit activity under the 2023 Plan during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7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 as of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177,615</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(27,953)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 as of March 31, 2026</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358,634</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restricted stock units vested during the three months ended March 31, 2026 was $1.4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Employee Stock Purchase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July 2023, the Board adopted and the Company’s stockholders approved the 2023 Employee Stock Purchase Plan (the “ESPP”), which became effective on July 13, 2023. The ESPP provides that eligible employees may contribute up to 15% of their eligible earnings toward the semi-annual purchase of the Company's common stock, subject to any plan limitations. The purchase period under the ESPP has a duration of six months, and the purchase price with respect to each purchase period is equal to 85% of the lesser of (i) the fair market value of the Company's common stock at the commencement of the applicable six-month purchase period or (ii) the fair market value of the Company's common stock on the exercise date. As of March 31, 2026, 69,405 shares have been issued under the ESPP and 2,157,626 shares remain available for issuance.</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equity-based compensation expense related to equity awards granted to employees, executives, and service providers (in thousands):</w:t>
      </w:r>
    </w:p>
    <w:p>
      <w:pPr>
        <w:spacing w:after="0" w:line="12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5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5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100" w:type="dxa"/>
            <w:vAlign w:val="bottom"/>
          </w:tcPr>
          <w:p>
            <w:pPr>
              <w:spacing w:after="0"/>
              <w:rPr>
                <w:sz w:val="18"/>
                <w:szCs w:val="18"/>
                <w:color w:val="auto"/>
              </w:rPr>
            </w:pPr>
          </w:p>
        </w:tc>
      </w:tr>
      <w:tr>
        <w:trPr>
          <w:trHeight w:val="230"/>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00" w:type="dxa"/>
            <w:vAlign w:val="bottom"/>
            <w:shd w:val="clear" w:color="auto" w:fill="CFF0FC"/>
          </w:tcPr>
          <w:p>
            <w:pPr>
              <w:spacing w:after="0"/>
              <w:rPr>
                <w:sz w:val="19"/>
                <w:szCs w:val="19"/>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As of March 31, 2026, the total unrecognized compensation expense related to the Company’s stock options, unvested restricted stock and ESPP was $180.7 million, which the Company expects to recognize over a weighted-average period of approximately </w:t>
      </w:r>
      <w:r>
        <w:rPr>
          <w:rFonts w:ascii="Times New Roman" w:cs="Times New Roman" w:eastAsia="Times New Roman" w:hAnsi="Times New Roman"/>
          <w:sz w:val="18"/>
          <w:szCs w:val="18"/>
          <w:color w:val="231F20"/>
        </w:rPr>
        <w:t>2.6 years.</w:t>
      </w:r>
    </w:p>
    <w:p>
      <w:pPr>
        <w:spacing w:after="0" w:line="266"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considers Paragon to be a related party because Fairmount Funds Management LLC, which beneficially owns more than 5% of Paragon, beneficially owns more than 5% of the Company’s capital stock and, as of the date of this Quarterly Report, has one seat on the Board. Under the Option Agreements and the License Agreements, Paragon, received upfront consideration in the form of common units, is entitled to receive milestone and royalty payments upon specific conditions and receives payments from the Company for providing ongoing services under the agreements (see Note 8). As of March 31, 2026 and December 31, 2025, $0.6 million and $2.1 million were due to Paragon, respectively. For the three months ended March 31, 2026, the Company incurred research and development expenses of $0.6 million with Paragon. For the three months ended March 31, 2025, the Company incurred immaterial research and development expenses with Paragon.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90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90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7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7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(74,111)</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(55,339)</w:t>
            </w:r>
          </w:p>
        </w:tc>
      </w:tr>
      <w:tr>
        <w:trPr>
          <w:trHeight w:val="20"/>
        </w:trPr>
        <w:tc>
          <w:tcPr>
            <w:tcW w:w="69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(74,111)</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(55,339)</w:t>
            </w:r>
          </w:p>
        </w:tc>
      </w:tr>
      <w:tr>
        <w:trPr>
          <w:trHeight w:val="197"/>
        </w:trPr>
        <w:tc>
          <w:tcPr>
            <w:tcW w:w="69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69,668,439</w:t>
            </w:r>
          </w:p>
        </w:tc>
        <w:tc>
          <w:tcPr>
            <w:tcW w:w="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58,195,272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(0.95)</w:t>
            </w:r>
          </w:p>
        </w:tc>
      </w:tr>
      <w:tr>
        <w:trPr>
          <w:trHeight w:val="20"/>
        </w:trPr>
        <w:tc>
          <w:tcPr>
            <w:tcW w:w="6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-471170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-453390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presented based on amounts outstanding at period end, were excluded from the calculation of diluted net loss per share attributable to common stockholders for the period indicated because including them would have been anti-dilutive:</w:t>
      </w:r>
    </w:p>
    <w:p>
      <w:pPr>
        <w:spacing w:after="0" w:line="12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0" w:type="dxa"/>
            <w:vAlign w:val="bottom"/>
            <w:tcBorders>
              <w:top w:val="single" w:sz="8" w:color="auto"/>
              <w:bottom w:val="single" w:sz="8" w:color="auto"/>
            </w:tcBorders>
          </w:tcPr>
          <w:p>
            <w:pPr>
              <w:jc w:val="right"/>
              <w:ind w:right="7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6,841,436</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5,355,989</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441,330</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1,221,369</w:t>
            </w:r>
          </w:p>
        </w:tc>
        <w:tc>
          <w:tcPr>
            <w:tcW w:w="100" w:type="dxa"/>
            <w:vAlign w:val="bottom"/>
          </w:tcPr>
          <w:p>
            <w:pPr>
              <w:spacing w:after="0"/>
              <w:rPr>
                <w:sz w:val="18"/>
                <w:szCs w:val="18"/>
                <w:color w:val="auto"/>
              </w:rPr>
            </w:pPr>
          </w:p>
        </w:tc>
      </w:tr>
      <w:tr>
        <w:trPr>
          <w:trHeight w:val="216"/>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358,634</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245,244</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Potential shares issuable under the ESPP</w:t>
            </w:r>
          </w:p>
        </w:tc>
        <w:tc>
          <w:tcPr>
            <w:tcW w:w="1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280" w:type="dxa"/>
            <w:vAlign w:val="bottom"/>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tcPr>
          <w:p>
            <w:pPr>
              <w:spacing w:after="0"/>
              <w:rPr>
                <w:sz w:val="18"/>
                <w:szCs w:val="18"/>
                <w:color w:val="auto"/>
              </w:rPr>
            </w:pPr>
          </w:p>
        </w:tc>
      </w:tr>
      <w:tr>
        <w:trPr>
          <w:trHeight w:val="249"/>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7,651,443</w:t>
            </w:r>
          </w:p>
        </w:tc>
        <w:tc>
          <w:tcPr>
            <w:tcW w:w="28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6,836,427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Company entered into a lease agreement for lab space. In June 2024, the agreement was amended to expand the space and extend the lease term through November 2026, with the option to extend for one year. In January 2025, the agreement was amended to further expand the space. As of March 31, 2026, the remaining lease term was 0.7 years and the weighted average incremental borrowing rate used to determine the operating lease liability was 9.1%.</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2024, the Company entered into a lease agreement for office space. The lease term is five years with two one-year options to extend.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remaining lease term was 3.5 years and the incremental borrowing rate used to determine the operating lease liability was 6.0%.</w:t>
      </w:r>
    </w:p>
    <w:p>
      <w:pPr>
        <w:spacing w:after="0" w:line="20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total current and non-current operating lease liabilities were $3.1 million and $4.9 million, respectively. The Company incurred lease expense of $1.1 million and $1.1 million for the three months ended March 31, 2026 and 2025,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one operating segment and one reporting unit. The Company’s chief operating decision maker (“CODM”), its Chief Executive Officer, manages the Company’s operations on a consolidated basis for the purposes of assessing performance and allocating resources. All of the Company’s assets are located in the United States.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segment information for the periods presented (in thousands):</w:t>
      </w:r>
    </w:p>
    <w:p>
      <w:pPr>
        <w:spacing w:after="0" w:line="178"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-3175</wp:posOffset>
            </wp:positionV>
            <wp:extent cx="21602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09"/>
        </w:trPr>
        <w:tc>
          <w:tcPr>
            <w:tcW w:w="69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 personnel-related (excluding equity-based compensation)</w:t>
            </w: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18,542</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120" w:type="dxa"/>
            <w:vAlign w:val="bottom"/>
          </w:tcPr>
          <w:p>
            <w:pPr>
              <w:spacing w:after="0"/>
              <w:rPr>
                <w:sz w:val="18"/>
                <w:szCs w:val="18"/>
                <w:color w:val="auto"/>
              </w:rPr>
            </w:pPr>
          </w:p>
        </w:tc>
      </w:tr>
      <w:tr>
        <w:trPr>
          <w:trHeight w:val="216"/>
        </w:trPr>
        <w:tc>
          <w:tcPr>
            <w:tcW w:w="6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External research and development costs - zumilokibart (APG777)</w:t>
            </w: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14,571</w:t>
            </w:r>
          </w:p>
        </w:tc>
        <w:tc>
          <w:tcPr>
            <w:tcW w:w="120" w:type="dxa"/>
            <w:vAlign w:val="bottom"/>
            <w:shd w:val="clear" w:color="auto" w:fill="CFF0FC"/>
          </w:tcPr>
          <w:p>
            <w:pPr>
              <w:spacing w:after="0"/>
              <w:rPr>
                <w:sz w:val="18"/>
                <w:szCs w:val="18"/>
                <w:color w:val="auto"/>
              </w:rPr>
            </w:pPr>
          </w:p>
        </w:tc>
      </w:tr>
      <w:tr>
        <w:trPr>
          <w:trHeight w:val="216"/>
        </w:trPr>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External research and development costs - APG990 / APG279</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20" w:type="dxa"/>
            <w:vAlign w:val="bottom"/>
          </w:tcPr>
          <w:p>
            <w:pPr>
              <w:spacing w:after="0"/>
              <w:rPr>
                <w:sz w:val="18"/>
                <w:szCs w:val="18"/>
                <w:color w:val="auto"/>
              </w:rPr>
            </w:pPr>
          </w:p>
        </w:tc>
      </w:tr>
      <w:tr>
        <w:trPr>
          <w:trHeight w:val="216"/>
        </w:trPr>
        <w:tc>
          <w:tcPr>
            <w:tcW w:w="6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External research and development costs - APG333 / APG273</w:t>
            </w: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shd w:val="clear" w:color="auto" w:fill="CFF0FC"/>
          </w:tcPr>
          <w:p>
            <w:pPr>
              <w:spacing w:after="0"/>
              <w:rPr>
                <w:sz w:val="18"/>
                <w:szCs w:val="18"/>
                <w:color w:val="auto"/>
              </w:rPr>
            </w:pPr>
          </w:p>
        </w:tc>
      </w:tr>
      <w:tr>
        <w:trPr>
          <w:trHeight w:val="216"/>
        </w:trPr>
        <w:tc>
          <w:tcPr>
            <w:tcW w:w="696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External-discovery related costs and other </w:t>
            </w:r>
            <w:r>
              <w:rPr>
                <w:rFonts w:ascii="Times New Roman" w:cs="Times New Roman" w:eastAsia="Times New Roman" w:hAnsi="Times New Roman"/>
                <w:sz w:val="24"/>
                <w:szCs w:val="24"/>
                <w:color w:val="auto"/>
                <w:vertAlign w:val="superscript"/>
              </w:rPr>
              <w:t>(2)</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20" w:type="dxa"/>
            <w:vAlign w:val="bottom"/>
          </w:tcPr>
          <w:p>
            <w:pPr>
              <w:spacing w:after="0"/>
              <w:rPr>
                <w:sz w:val="18"/>
                <w:szCs w:val="18"/>
                <w:color w:val="auto"/>
              </w:rPr>
            </w:pPr>
          </w:p>
        </w:tc>
      </w:tr>
      <w:tr>
        <w:trPr>
          <w:trHeight w:val="216"/>
        </w:trPr>
        <w:tc>
          <w:tcPr>
            <w:tcW w:w="6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 personnel-related (excluding equity-based compensation)</w:t>
            </w: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20" w:type="dxa"/>
            <w:vAlign w:val="bottom"/>
            <w:shd w:val="clear" w:color="auto" w:fill="CFF0FC"/>
          </w:tcPr>
          <w:p>
            <w:pPr>
              <w:spacing w:after="0"/>
              <w:rPr>
                <w:sz w:val="18"/>
                <w:szCs w:val="18"/>
                <w:color w:val="auto"/>
              </w:rPr>
            </w:pPr>
          </w:p>
        </w:tc>
      </w:tr>
      <w:tr>
        <w:trPr>
          <w:trHeight w:val="216"/>
        </w:trPr>
        <w:tc>
          <w:tcPr>
            <w:tcW w:w="696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General and administrative operations</w:t>
            </w:r>
            <w:r>
              <w:rPr>
                <w:rFonts w:ascii="Times New Roman" w:cs="Times New Roman" w:eastAsia="Times New Roman" w:hAnsi="Times New Roman"/>
                <w:sz w:val="24"/>
                <w:szCs w:val="24"/>
                <w:color w:val="auto"/>
                <w:vertAlign w:val="superscript"/>
              </w:rPr>
              <w:t>(3)</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20" w:type="dxa"/>
            <w:vAlign w:val="bottom"/>
          </w:tcPr>
          <w:p>
            <w:pPr>
              <w:spacing w:after="0"/>
              <w:rPr>
                <w:sz w:val="18"/>
                <w:szCs w:val="18"/>
                <w:color w:val="auto"/>
              </w:rPr>
            </w:pPr>
          </w:p>
        </w:tc>
      </w:tr>
      <w:tr>
        <w:trPr>
          <w:trHeight w:val="216"/>
        </w:trPr>
        <w:tc>
          <w:tcPr>
            <w:tcW w:w="6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20" w:type="dxa"/>
            <w:vAlign w:val="bottom"/>
            <w:shd w:val="clear" w:color="auto" w:fill="CFF0FC"/>
          </w:tcPr>
          <w:p>
            <w:pPr>
              <w:spacing w:after="0"/>
              <w:rPr>
                <w:sz w:val="18"/>
                <w:szCs w:val="18"/>
                <w:color w:val="auto"/>
              </w:rPr>
            </w:pPr>
          </w:p>
        </w:tc>
      </w:tr>
      <w:tr>
        <w:trPr>
          <w:trHeight w:val="216"/>
        </w:trPr>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expense</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r>
      <w:tr>
        <w:trPr>
          <w:trHeight w:val="216"/>
        </w:trPr>
        <w:tc>
          <w:tcPr>
            <w:tcW w:w="6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 net</w:t>
            </w: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(8,740)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(7,840)</w:t>
            </w:r>
          </w:p>
        </w:tc>
      </w:tr>
      <w:tr>
        <w:trPr>
          <w:trHeight w:val="216"/>
        </w:trPr>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174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74,111</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55,339</w:t>
            </w:r>
          </w:p>
        </w:tc>
        <w:tc>
          <w:tcPr>
            <w:tcW w:w="120" w:type="dxa"/>
            <w:vAlign w:val="bottom"/>
            <w:shd w:val="clear" w:color="auto" w:fill="CFF0FC"/>
          </w:tcPr>
          <w:p>
            <w:pPr>
              <w:spacing w:after="0"/>
              <w:rPr>
                <w:sz w:val="18"/>
                <w:szCs w:val="18"/>
                <w:color w:val="auto"/>
              </w:rPr>
            </w:pPr>
          </w:p>
        </w:tc>
      </w:tr>
    </w:tbl>
    <w:p>
      <w:pPr>
        <w:spacing w:after="0" w:line="85" w:lineRule="exact"/>
        <w:rPr>
          <w:sz w:val="20"/>
          <w:szCs w:val="20"/>
          <w:color w:val="auto"/>
        </w:rPr>
      </w:pPr>
    </w:p>
    <w:p>
      <w:pPr>
        <w:ind w:left="1020" w:hanging="503"/>
        <w:spacing w:after="0"/>
        <w:tabs>
          <w:tab w:leader="none" w:pos="10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41"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External-discovery related costs and other include expenses related to APG808.</w:t>
      </w:r>
    </w:p>
    <w:p>
      <w:pPr>
        <w:spacing w:after="0" w:line="41"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operations are comprised of finance, investor relations, business development, human resources, legal, facilities &amp; IT, and certain overhead expenses.</w:t>
      </w:r>
    </w:p>
    <w:p>
      <w:pPr>
        <w:spacing w:after="0" w:line="200" w:lineRule="exact"/>
        <w:rPr>
          <w:rFonts w:ascii="Times New Roman" w:cs="Times New Roman" w:eastAsia="Times New Roman" w:hAnsi="Times New Roman"/>
          <w:sz w:val="14"/>
          <w:szCs w:val="14"/>
          <w:color w:val="auto"/>
        </w:rPr>
      </w:pPr>
    </w:p>
    <w:p>
      <w:pPr>
        <w:spacing w:after="0" w:line="327"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evaluated subsequent events through the date on which these financial statements were issued to ensure that these condensed</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consolidated financial statements include appropriate disclosure of events both recognized in the financial statements as of March 31, 2026 and events which occurred subsequently but not recognized in the financial statements. No subsequent events have occurred that require disclosure.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condensed consolidated financial statements and related notes included elsewhere in this Quarterly Report, as well as our audited consolidated financial statements and the related notes included in our Annual Report on Form 10-K filed with the Securities and Exchange Commission (“SEC”). The following discussion contains forward-looking statements that reflect our current plans, forecasts, estimates and beliefs and involve risks and uncertainties. Our historical results are not necessarily indicative of the results that may be expected for any period in the future. Our actual results, outcomes and the timing of events could differ materially from those discussed in the forward-looking statements. Factors that could cause or contribute to these differences include those discussed below and elsewhere in this Quarterly Report, particularly in the section titled “Special Note Regarding Forward Looking Statements” and “Risk Factors.” We urge you to consider these factors carefully in evaluating the forward-looking statements contained in this Quarterly Report. Forward-looking statements are not historical facts, reflect our current views with respect to future events, and apply only as of the date made. We do not intend, and undertake no obligation, to update these forward-looking statements, except as required by law. Unless the context requires otherwise, references to “we,” “us,” “our,” “Apogee” or “the Company” refer to Apogee Therapeutics, Inc. and its subsidiaries.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This Quarterly Report contains references to our programs, which are used interchangeably to refer to our clinical programs within our pipeline and our products under development.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clinical stage biotechnology company advancing optimized, novel biologics with the potential for differentiated efficacy and dosing in the largest inflammatory and immunology (“I&amp;I”) markets, including for the treatment of atopic dermatitis (“AD”), asthma, eosinophilic esophagitis (“EoE”), chronic obstructive pulmonary disease (“COPD”), and other I&amp;I indications. Our antibody programs are designed to overcome limitations of existing therapies by targeting well-established mechanisms of action and incorporating advanced antibody engineering to optimize half-life and other properties.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pipeline comprises multiple antibody programs being developed initially for the treatment of I&amp;I indications as monotherapies and combinations, including zumilokibart (APG777), APG279 (zumilokibart + APG990), APG273 (zumilokibart + APG333), and APG808 (each a “program” or “product candidate”). With four validated targets in our portfolio, we are seeking to achieve best-in-class efficacy and dosing through monotherapies and combinations of our novel antibodies. Based on a broad pipeline and depth of expertise, we believe we can deliver value and meaningful benefit to patients underserved by today’s standard of care. We believe each of our product candidates has potential for broad application across multiple I&amp;I indications.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Zumilokibart (APG777) – anti-IL13 antibody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Zumilokibart is a subcutaneous (“SQ”) extended half-life monoclonal antibody (“mAb”) targeting IL-13.</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1 Trial in Healthy Volunteers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August 2023, we initiated a Phase 1 trial of zumilokibart in healthy volunteers. The zumilokibart Phase 1 trial was a double-blind, placebo-controlled study in healthy volunteers and consisted of a single-ascending dose (“SAD”) component and a multiple ascending dose component. Eight healthy volunteers, six treated with zumilokibart and two treated with placebo, were enrolled in each cohort, and we enrolled a total of 40 healthy adult subjects in the trial.</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March 2024, we announced positive interim safety and pharmacokinetic (“PK”) data from this trial with zumilokibart demonstrating a potential best-in-class PK profile, including a half-life of 77 days, supporting the potential for every three- to six- month maintenance dosing in AD. Single doses of zumilokibart demonstrated a deep and sustained effect on pharmacodynamic (“PD”) markers out to approximately 12 months. Zumilokibart was well-tolerated across all dose groups.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APEX Phase 2 Trial for Patients with AD</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May 2024, we announced dosing of our first patient in the APEX Phase 2 clinical trial, which is a randomized, placebo-controlled study evaluating zumilokibart in patients with moderate-to-severe AD.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July 2025, we announced positive 16-week data from the Part A portion of the APEX Phase 2 clinical trial. Part A of the trial enrolled 123 adult patients who were randomized 2:1 to zumilokibart versus placebo and received an induction regimen dosing of 720mg at Weeks 0 and 2, followed by 360mg at Weeks 4 and 12. The primary endpoint for the induction arm of Part A was percentage change in Eczema Area Severity Index (“EASI”) score from baseline at Week 16. Secondary endpoints included EASI-75, EASI-90, Validated Investigator Global Assessment (“vIGA”) 0/1 and Itch Numeric Rating Scale (“Itch NRS”) at Week 16. In non-head-to-head trial comparisons, the initial 16-week findings from Part A included efficacy results, which compared favorably versus standard of care across endpoints, as well as rapid onset of itch relief and lesion reduction, and a favorable safety profile consistent with its class.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Part A trial met its primary endpoint, with zumilokibart showing significantly greater least squares mean percent change from baseline at Week 16 with an EASI reduction of 71.0% compared to placebo of 33.8% (p &lt; 0.001). Zumilokibart showed the highest absolute and placebo-adjusted EASI-75 of any biologic in a 16-week global study with 66.9% of patients treated with zumilokibart achieving EASI-75 compared to 24.6% on placebo (p &lt; 0.001). Pre-specified sensitivity analysis showed consistent results in both moderate and severe patients based on baseline EASI score. The results demonstrated a vIGA 0/1 of 34.9% compared to placebo of 17.3% (p &lt; 0.05) and an EASI-90 of 33.9% compared to placebo of 14.7% (p &lt; 0.05). Treatment of patients with zumilokibart led to rapid and deep onset of itch relief and achieved a statistically significant reduction by Week 1, with a 50.7% reduction of Itch NRS from baseline compared to placebo of 23.2% (p &lt; 0.01) at Week 16. Zumilokibart was well-tolerated, with 56.1% of zumilokibart -exposed patients experiencing treatment-emergent adverse events (“TEAEs”) (vs. 63.4% in placebo). The most common TEAEs, occurring in more than 5% of patients, were non-infective conjunctivitis (14.6% vs. 2.4% in placebo), upper respiratory tract infection (8.5% vs 12.2% in placebo), nasopharyngitis (4.9% vs. 12.2% in placebo), and pain in extremity (0.0% vs. 7.3% in placebo) with the latter three being numerically lower in zumilokibart treated patients compared to placebo. Serious TEAEs were rare for zumilokibart -exposed patients (1.2% vs. 2.4% in placebo). The discontinuation rate due to adverse events was low for zumilokibart -exposed patients (2.4%). There were no injection site reactions in the zumilokibart treated group. In addition, improvement in asthma and sinusitis, as measured by improvements in the Asthma Control Questionnaire and Sinonasal Outcome Test in patients with comorbid asthma or sinusitis, was observed, which reflect zumilokibart’s potential to broadly impact Type 2 inflammatory disease.</w:t>
      </w:r>
    </w:p>
    <w:p>
      <w:pPr>
        <w:spacing w:after="0" w:line="19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All Part A patients that benefited from treatment in the induction arm received the opportunity to continue to zumilokibart maintenance treatment, which evaluated three and six-month dosing intervals. Patients in the placebo arm for the first 16 weeks also received the opportunity to receive an induction regimen of zumilokibart followed by three-month dosing of zumilokibart.</w:t>
      </w:r>
    </w:p>
    <w:p>
      <w:pPr>
        <w:spacing w:after="0" w:line="135"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In March 2026, we announced positive 52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maintenance data from the Part A portion of the APEX Phase 2 clinical trial. The 52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maintenance portion of the trial evaluated 360mg of zumilokibart administered at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and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maintenance dosing intervals. Results focused on two analysis populations: the Week 16 zumilokibart responder population and the full 52-week zumilokibart-treated population. At Week 52, zumilokibart demonstrated strong maintenance of response among Week 16 responders, with deepening of efficacy across the full treated population for all lesion and itch endpoints. Among Week 16 responders, 75% and 85% of patients receiving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and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maintenance dosing, respectively, maintained EASI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75. In addition, 86% and 78% of patients receiving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and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maintenance dosing, respectively, maintained a vIGA 0/1 at Week 52. Across the entire population treated with zumilokibart, responses improved through Week 52 for both every three - and six -month dosing regimens. vIGA 0/1 response of 72% and 52% was achieved at Week 52 for patients receiving three-month and six-month maintenance dosing, respectively, an improvement of 35% and 14% from Week 16 for the three-month and six-month dosing regimens, respectively. In addition, EASI-90 of 75% and 48% was achieved at Week 52 for patients receiving three-month and six-month maintenance dosing regimens, respectively, an improvement of 36% and 10% from Week 16 for the three-month and six-month regimens, respectively. EASI-100 of 41% and 19% was achieved at Week 52 for patients receiving three-month and six-month maintenance dosing regimens, respectively, an improvement of 33% and 11% from Week 16 for the three-month and six-month dosing regimens, respectively. Of patients who achieved EASI-90 at Week 16, 88% of patients with every 3-month dosing and 72% of patients with every 6-month dosing maintained such response at Week 52.</w:t>
      </w:r>
    </w:p>
    <w:p>
      <w:pPr>
        <w:spacing w:after="0" w:line="161" w:lineRule="exact"/>
        <w:rPr>
          <w:sz w:val="20"/>
          <w:szCs w:val="20"/>
          <w:color w:val="auto"/>
        </w:rPr>
      </w:pPr>
    </w:p>
    <w:p>
      <w:pPr>
        <w:jc w:val="both"/>
        <w:ind w:firstLine="509"/>
        <w:spacing w:after="0" w:line="245" w:lineRule="exact"/>
        <w:rPr>
          <w:sz w:val="20"/>
          <w:szCs w:val="20"/>
          <w:color w:val="auto"/>
        </w:rPr>
      </w:pPr>
      <w:r>
        <w:rPr>
          <w:rFonts w:ascii="Times New Roman" w:cs="Times New Roman" w:eastAsia="Times New Roman" w:hAnsi="Times New Roman"/>
          <w:sz w:val="18"/>
          <w:szCs w:val="18"/>
          <w:color w:val="auto"/>
        </w:rPr>
        <w:t>Zumilokibart was generally well tolerated over the 52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treatment period, with a safety profile consistent with other agents in its class. The most commonly reported TEAEs included non-infective conjunctivitis, upper respiratory tract infection, and nasopharyngitis.</w:t>
      </w:r>
    </w:p>
    <w:p>
      <w:pPr>
        <w:spacing w:after="0" w:line="1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2025, we announced that we had commenced dosing of the Part B portion of the APEX Phase 2 trial. Part B is testing low, medium (Part A dose), and high dose regimens against placebo. In January 2026, we announced that we completed Part B enrollment ahead of schedule and exceeded target enrollment with a total of 347 patients. We expect to report 16-week topline induction data from Part B in the second quarter of 2026. Subject to positive results and regulatory alignment with the U.S. Food and Drug Administration (the “FDA”), we plan to initiate Phase 3 trials in AD in the second half of 2026, enabling a potential launch of zumilokibart for the treatment of AD in 2029.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APEX Part A induction regimen was designed to exceed EBGLYSS exposures by approximately 30% to 40% with potential for improved clinical outcomes and a maintenance regimen designed to equal lebrikizumab’s exposures. The results at Week 16 of the Part A study showed that patients in the highest zumilokibart exposure quartile (n=19) achieved the highest clinical response of any quartile in a post hoc exposure-response analysis. These patients had a mean 84.0% reduction in EASI from baseline, 89.5% of patients reaching EASI-75, 63.2% achieving IGA0/1, and 63.2% achieving EASI-90, demonstrating a robust response at the highest exposure level. The highest zumilokibart Part B dose was designed to exceed EBGLYSS exposures by approximately 90 to 100% which is similar to the exposure obtained in the highest quartile of the Part A results.</w:t>
      </w:r>
    </w:p>
    <w:p>
      <w:pPr>
        <w:spacing w:after="0" w:line="2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Phase 1b Trial in Patients with Asthma</w:t>
      </w:r>
    </w:p>
    <w:p>
      <w:pPr>
        <w:spacing w:after="0" w:line="11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April 2025, we initiated a Phase 1b trial of zumilokibart (APG777) in patients with mild-to-moderate asthma, and in January 2026, we announced positive interim data from the trial. The trial is a double-blind, placebo-controlled trial evaluating the safety and tolerability of zumilokibart in patients with mild-to-moderate asthma. The trial is designed to also evaluate fractional exhaled nitric oxide (“FeNO”) suppression, a biomarker of Type 2 inflammation that has shown the strongest correlation with exacerbations in asthma. The trial enrolled 31 adult patients who were randomized 3:1 to zumilokibart versus placebo and participants received a single dose of 720 mg of zumilokibart or placebo on day 1. Nineteen of the patients with mild-to-moderate asthma had a FeNO baseline ≥25 ppb, representative of asthma with Type 2 inflammation, and as a result met the pre-specified criteria for the analysis population.</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trial, zumilokibart demonstrated a favorable safety profile and was well-tolerated in all patients. In the 14 patients treated with zumilokibart in the analysis population, the only TEAEs observed in more than one patient was gastroesophageal reflux disease (“GERD”), which was observed in 2 patients. In the analysis population, there were no Grade 3 or higher TEAEs or serious adverse events observed and no conjunctivitis, injection site reactions, or anti-drug antibodies were observed. In the full safety population (n=31) that were on treatment (n=23), TEAEs occurring in more than one patient on zumilokibart were upper respiratory tract infection (n=3), nasopharyngitis (n=2), GERD (n=2), and arthralgia (n=2); there were no Grade 3 or higher TEAEs or serious adverse events.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Zumilokibart demonstrated robust and durable suppression of FeNO following a single dose in the analysis population. A maximum absolute mean FeNO reduction of 45 ppb (60% decrease from baseline) after a single dose was observed in the analysis population. Durable FeNO suppression through 16 weeks was observed for all patients in the analysis population. Zumilokibart also demonstrated suppression of FeNO through 32 weeks for those patients in the analysis population with follow up available at the time of the data cut (n=3), supporting the potential for three- or six- month dosing. In the trial, positive trends were observed in forced expiratory volume in one second (“FEV1”) and across Type 2 biomarkers for all available data in the analysis population. FEV1 is a PD measure of lung function. Based on these results, we anticipate sharing our plans in the second half of 2026 to further evaluate zumilokibart in the ASPIRE Phase 2 asthma trial.</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Expansion Opportunities in Other Indications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results from the Phase 1b trial of zumilokibart for the treatment of asthma, in addition to topline induction data from the Part B portion of the APEX Phase 2 trial in AD, will allow us to determine dose selections for further expansion indications in 2027 and beyond, including but not limited to asthma and EoE. We expect to announce plans for the Phase 2 ASPIRE trial for the treatment of asthma and the Phase 2 ELEVATE trial for the treatment of EoE in the second half of 2026. Based on our clinical data, we expect to further evaluate additional opportunities to develop zumilokibart for other I&amp;I indications, including alopecia areata, chronic rhinosinusitis with nasal polyps, chronic spontaneous urticaria, and prurigo nodularis.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plan to evaluate zumilokibart in combination with other investigational therapies within our pipeline to potentially enable greater efficacy for I&amp;I conditions. The first of these combinations is APG279, which combines zumilokibart with APG990, our novel, SQ, half-life extended mAb targeting OX40L. We are also evaluating APG273, which combines zumilokibart with APG333, our novel, SQ, half-life extended mAb targeting thymic stromal lymphopoietin (“TSLP”).</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APG279 – Combination of zumilokibart (APG777) and APG990 – anti-OX40L antibody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developing zumilokibart and APG990 together as APG279, a potential first-in-class coformulation for the treatment of AD by combining deep and sustained inhibition of Type 2 inflammation via zumilokibart’s inhibition of IL-13 with broader inhibition of Type 1-3 inflammation through APG990’s inhibition of OX40L. APG990 is an SQ extended half-life mAb that utilizes advanced antibody engineering to target OX40L.</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August 2024, we initiated a Phase 1 clinical trial of APG990, which was designed as a double-blind, placebo-controlled, first-in-human, SAD trial designed to evaluate the safety and PK of APG990 in 40 healthy adult participants across five cohorts. Doses of</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SQ APG990 evaluated in the study included 75mg, 150mg, 300mg, 600mg and 1,200mg. In March 2025, we announced positive interim safety and PK data from the trial. PK data showed a half-life of approximately 60 days across doses tested. APG990, in single doses up to 1,200mg, was well-tolerated and showed a favorable safety profile, consistent with other assets targeting OX40L. The most common (≥10%) TEAEs were headache. 53% of participants observed at least one TEAE and there were no Grade 3 TEAEs related to study drug or severe adverse events. No adverse events led to study discontinuation. There were no cases of pyrexia or chills.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July 2025, we commenced dosing in the Phase 1b trial of APG279 against DUPIXENT in patients with moderate-to-severe AD. Enrollment was completed with 86 patients, and we expect a data readout in the second half of 2026. The initial clinical trial of APG279 is being conducted as a coadministration of zumilokibart and APG990. We plan to advance the development of APG279 in future studies as a coformulation. The PK data for APG990, when considered together with APG279 coformulation data, provides the potential for dosing the combination two to four times per year with a single 2 mL coformulated injection.</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APG273 – Combination of zumilokibart (APG777) and APG333 - anti-TSLP antibody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developing zumilokibart and APG333 together as APG273, a potential quarterly or less frequently dosed co-formulation for the treatment of asthma and COPD. APG333 is a fully-human mAb against TSLP, an epithelial cell-derived cytokine that has emerged as an attractive validated target for the treatment of people living with asthma and COPD, with the potential for extended half-life and to be used in combination with other mAbs for potentially greater efficacy in broader populations.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2024, we initiated a Phase 1 clinical trial of APG333 in healthy volunteers, and in November 2025, we announced positive interim safety, PK and PD results from the clinical trial. APG333 demonstrated a half-life of approximately 55 days, supporting the potential for every three- and six-month dosing. In addition, key biomarkers of eosinophils and IL-5 showed depth of suppression in line with TSLP analogs and durability out to 6 months (limit of available follow-up).</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APG333, with single doses of up to 1,000 mg, was well-tolerated across the four cohorts. The most common TEAEs occurring in ≥10% of APG333 treated participants were headache and upper respiratory tract infection. TEAEs were generally mild and self-limited and there were no dose dependent trends in TEAEs seen. There were no Grade 3 TEAEs or severe adverse events; and no adverse events led to study discontinuation.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plan to announce additional clinical plans for APG273 in 2026 to support advancement into future combination trials in asthma and COPD.</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APG808 – anti-IL4Rα antibody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APG808 is an SQ extended half-life mAb targeting IL-4Rα, a target with clinical validation across eight different Type 2 allergic diseases. In March 2024, we commenced dosing of the first healthy volunteers in the APG808 Phase 1 trial, and in September 2024, we commenced dosing of the first asthma patients as a cohort in that Phase 1 trial. In December 2024, we announced positive interim safety, PK and PD data from the Phase 1 trial. APG808 demonstrated a potential best-in-class PK profile, including a half-life of approximately 55 days at projected, clinically relevant steady state exposures, supporting the potential for every two- to three-month maintenance dosing. Single doses of APG808 demonstrated a deep and sustained effect on PD markers out to approximately three months (longest follow-up available at time of data cut). APG808 was well-tolerated across all dose groups.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2025, we announced positive interim results from the Phase 1b trial of APG808 in patients with mild-to-moderate asthma. The trial was a double-blind, placebo-controlled, multiple-dose trial, which evaluated the safety and tolerability of APG808 in 22 adult patients with mild-to-moderate asthma. The trial also evaluated FeNO, thymus and activation-regulated chemokine (“TARC”), and pSTAT6. Participants were randomized 3:1, receiving 600mg of APG808 or placebo on day 1 and day 29.</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results demonstrated that APG808 was well-tolerated, with multiple doses of APG808 resulting in rapid suppression of FeNO, with a maximal robust FeNO decrease from baseline of 53% and sustained FeNO decrease from baseline of 50% at 12 weeks. APG808 also demonstrated sustained and near-complete reduction in pSTAT6 as well as deep reduction of TARC maintained through 12 weeks. The most common TEAEs observed were headache, injection site erythema, and upper respiratory tract infections. There were no Grade 3 TEAEs or severe adverse events, and no adverse events led to study discontinuation.</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APG808’s optimized PK profile coupled with FeNO suppression out to 12-weeks reinforces the potential for 2-months or longer maintenance dosing, offering a significant advantage compared to the current bi-weekly standard of care.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summarizes key business developments for the three months ended March 31, 2026, excluding program updates discussed in the “Overview” section above.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 Offerings</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On March 26, 2026, pursuant to our Registration Statement on Form S-3, which became effective in August 2024 (File No 333-281503), we issued and sold an aggregate of 5,750,000 shares of common stock (inclusive of 750,000 shares of common stock pursuant to the exercise in full of the underwriters’ option to purchase additional shares) at a public offering price of $70.00 per share (the “March 2026 Offering”). The aggregate net proceeds from the offering were $377.4 million after deducting underwriting discounts and commissions, and estimated offering expenses payable by us.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Facility</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sold 369,220 shares of common stock under our at the market offering program (“ATM Facility”) for gross proceeds of $29.7 million, less commissions and other offering expenses of $0.8 million.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ability to generate product revenue sufficient to achieve profitability will depend heavily on the successful development and eventual commercialization of any programs we may develop. We generated a net loss of $74.1 million for the three months ended March 31, 2026. As of March 31, 2026, we had an accumulated deficit of $635.9 million. We expect to continue to incur significantly increased expenses for the foreseeable future if and as we continue to operate our business.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global macroeconomic environment is uncertain, and could be negatively affected by, among other things, financial market volatility and uncertainty, inflation, interest rate fluctuations, changing tariff policies and trade restrictions, uncertainty with respect to the federal budget and debt ceiling and potential government shutdowns related thereto, instability in the global banking system, cybersecurity events, the impact of war or military conflict, including regional conflicts around the world, and public health pandemics. We closely monitor the impact of these factors on all aspects of our business, including the potential impacts on our clinical trials, supply chain, regulatory interactions, employees, third-party partners, suppliers, and vendors. The ultimate impact of global and domestic economic conditions on our business remains highly uncertain and will depend on future developments and factors that continue to evolve. As a result, we are subject to continuing risks and uncertainties and continue to closely monitor the impact of the current conditions on our business. For more information regarding these risks and uncertainties, see the section titled “Risk Factors” in this Quarterly Report.</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License and Service Agreements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information regarding our collaboration, license and service agreements, see Note 8—Other Significant Agreements to our condensed consolidated financial statements included in this Quarterly Report.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Financial Results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any revenue from the sale of products for several years, if at all. If our development efforts for our programs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and research of our programs. These expenses include:</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developing and validating our manufacturing process for use in our preclinical studies and current and future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continuing our current research programs and preclinical development of any programs we may identify, including under agreements with third parties, such as consultants and contractors;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Paragon, that conduct research and development and preclinical or clinical activities on our behalf;</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acquire in-process research and development, with no alternative future use associated with asset acquisitions, such as the Option Agreements, and License Agreements;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clinical trial sites and clinical research organizations (“CROs”) that conduct research and development activities on our behalf, including clinical trial execution, project management, data management and related outsourced services;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supplies and preclinical materials, including fees paid to contract manufacturers;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and equity-based compensation expense.</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measure and recognize asset acquisitions or licenses to intellectual property that are not deemed to be business combinations based on the cost to acquire or license the asset or group of assets, which includes transaction costs. In an asset acquisition or license to intellectual property, the cost allocated to acquired in-process research and development, with no alternative future use is recognized as research and development expense on the acquisition date.</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primary focus since inception has been the identification and development of our pipeline programs. Our research and development costs primarily consist of external costs, including CRO fees and fees paid to Paragon under the Option Agreements and the License Agreements. We do not separately track or segregate the amount of costs incurred under the Option Agreements due to the early-stage and discovery nature of the services. We do not allocate personnel-related costs by program because these resources are used and these costs are deployed across multiple programs under development, and, as such, are not separately classified.</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for the foreseeable future as we continue to invest in research and development activities for our programs, and any potential future programs, including investments in clinical trials and manufacturing. The success of programs we may identify and develop will depend on many factors, including the following:</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Investigational New Drug applications (“INDs”) or comparable foreign applications that allow commencement of our planned clinical trials or future clinical trials for any programs we may develop;</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future clinical trials that support a finding of safety and effectiveness, acceptable PK profile, and an acceptable risk-benefit profile in the intended populations;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through our own facilities or with third-party manufacturers for clinical supply and, where applicable, commercial manufacturing capabilities;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maintenance, defense and enforcement of patent, trademark, trade secret and other intellectual property protection or regulatory exclusivity for any products we may develop;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tolerability and efficacy profile of any programs we may develop following approval.</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programs that we may identify could mean a significant change in the costs and timing associated with the development of such programs. For example, if the U.S. Food and Drug Administration (“FDA”) or another regulatory authority were to require us to conduct clinical trials beyond those that we currently anticipate will be required for the completion of clinical development of a program, or if we experience significant delays in our clinical trials due to patient enrollment, macroeconomic events or other reasons, we would be required to expend significant additional financial resources and time on the completion of clinical development. We may never obtain regulatory approval for any of our programs.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bonuses, and equity-based compensation, for individuals in our executive, finance, legal, IT operations, human resources, business development, commercial and other administrative functions. Other significant general and administrative expenses include legal fees relating to corporate matters, professional fees for accounting, auditing, tax and administrative consulting services, insurance costs and recruiting costs. These costs relate to the operation of the business, unrelated to the research and development function, or any individual program.</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substantially for the foreseeable future as we increase our headcount to support the expected growth in our research and development activities and the potential commercialization of our product candidates, if approved. We also expect to continue incurring expenses associated with being a public company, including increased costs of accounting, audit, legal, regulatory and tax-related services associated with maintaining compliance with exchange listing and SEC requirements, director and officer insurance costs, and investor and public relations costs.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income earned from our cash, cash equivalents, and marketable securities and amortization of investment discounts.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losses we have incurred or for the research and development tax credits generated in each period as we believe, based upon the weight of available evidence, that it is more likely than not that all of our net operating loss (“NOL”) carryforwards and the vast majority of our tax credit carryforwards will not be realized.</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U.S. federal NOL carryforwards of approximately $250.7 million, which may be available to reduce future taxable income and have an indefinite carryforward period but are limited in their usage to an annual deduction equal to 80% of annual taxable income. We also had state net operating loss carryforwards of approximately $94.3 million, which will begin to expire in 2043 for state tax purposes. As of December 31, 2025, we also had U.S. federal and research and development tax credit carryforwards of approximately $16.7 million, which may be available to reduce future tax liabilities. We also had California research and development credit carryforwards of approximately $2.9 million. Additionally, we had Massachusetts research and development credit carryforwards of approximately $1.7 million. The U.S. federal and Massachusetts research and development tax credit carryforwards expire at various dates beginning in 2042 and the California research and development tax credit carryforwards do not expire. We have recorded a full valuation allowance against our net deferred tax assets at the balance sheet date.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provision for state income taxes was $0.1 million and $0.1 million for the three months ended March 31, 2026 and 2025,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the three months ended March 31, 2026 compared to the three months ended March 31, 2025 is presented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consolidated statements of operations for the periods presented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60,819</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46,387</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(82,772)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(63,096)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(19,676)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2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2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2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(74,032)</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(55,256)</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(18,776)</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Provision for income taxes</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after taxes</w:t>
            </w:r>
          </w:p>
        </w:tc>
        <w:tc>
          <w:tcPr>
            <w:tcW w:w="2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(74,111)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(55,339)</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(18,772)</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-1190625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-1190625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-624840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-624840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-333375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-316865</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-333375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-316865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for the periods presented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5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77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costs by program:</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Zumilokibart (APG777)</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19,542</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APG990/APG279</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APG333/APG273</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Pr>
          <w:p>
            <w:pPr>
              <w:spacing w:after="0"/>
              <w:rPr>
                <w:sz w:val="18"/>
                <w:szCs w:val="18"/>
                <w:color w:val="auto"/>
              </w:rPr>
            </w:pPr>
          </w:p>
        </w:tc>
      </w:tr>
      <w:tr>
        <w:trPr>
          <w:trHeight w:val="164"/>
        </w:trPr>
        <w:tc>
          <w:tcPr>
            <w:tcW w:w="774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Unallocated research and development costs: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68"/>
        </w:trPr>
        <w:tc>
          <w:tcPr>
            <w:tcW w:w="7740" w:type="dxa"/>
            <w:vAlign w:val="bottom"/>
          </w:tcPr>
          <w:p>
            <w:pPr>
              <w:ind w:left="140"/>
              <w:spacing w:after="0" w:line="267" w:lineRule="exact"/>
              <w:rPr>
                <w:sz w:val="20"/>
                <w:szCs w:val="20"/>
                <w:color w:val="auto"/>
              </w:rPr>
            </w:pPr>
            <w:r>
              <w:rPr>
                <w:rFonts w:ascii="Times New Roman" w:cs="Times New Roman" w:eastAsia="Times New Roman" w:hAnsi="Times New Roman"/>
                <w:sz w:val="18"/>
                <w:szCs w:val="18"/>
                <w:color w:val="auto"/>
              </w:rPr>
              <w:t>External-discovery related costs and other</w:t>
            </w:r>
            <w:r>
              <w:rPr>
                <w:rFonts w:ascii="Times New Roman" w:cs="Times New Roman" w:eastAsia="Times New Roman" w:hAnsi="Times New Roman"/>
                <w:sz w:val="24"/>
                <w:szCs w:val="24"/>
                <w:color w:val="auto"/>
                <w:vertAlign w:val="superscript"/>
              </w:rPr>
              <w:t>(1)</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Pr>
          <w:p>
            <w:pPr>
              <w:spacing w:after="0"/>
              <w:rPr>
                <w:sz w:val="23"/>
                <w:szCs w:val="23"/>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Personnel-related (excluding equity-based compensation)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60,819</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46,387</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1060" w:hanging="543"/>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research and development expenses related to APG808</w:t>
      </w:r>
    </w:p>
    <w:p>
      <w:pPr>
        <w:spacing w:after="0" w:line="20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and 2025 were $60.8 million and $46.4 million, respectively. The increase of $14.4 million was primarily driven by the continued development of our zumilokibart (APG777) and APG990/APG279 programs, increased external-discovery related costs, and higher personnel and equity-based compensation expenses associated with the growth in our research and development team, partially offset by decreases in expenses related to the APG333/APG273 program.</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related to the zumilokibart (APG777) program increased by $5.0 million in the three months ended March 31, 2026, compared to the three months ended March 31, 2025, primarily driven by an increase in clinical trial-related expenses associated with our APEX Phase 2 clinical trial. Research and development expense related to the APG990/APG279 program increased by $2.2 million in the three months ended March 31, 2026, compared to the three months ended March 31, 2025, primarily</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an increase in clinical manufacturing activities and clinical trial expenses. Research and development expense related to the APG333/APG273 program decreased by $2.2 million in the three months ended March 31, 2026, compared to the three months ended March 31, 2025, primarily due to a reduction in clinical manufacturing activities and decreases in preclinical research and development and clinical trial related expenses.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External-discovery related costs and other expenses increased by $3.0 million in the three months ended March 31, 2026, compared to the three months ended March 31, 2025, primarily driven by an increase in professional service fees. Additionally, personnel-related expenses and equity-based compensation both increased by $3.2 million in the three months ended March 31, 2026, compared to the three months ended March 31, 2025, primarily due to increased headcount and an increase in the fair value of equity awards granted.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periods presented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5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77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(excluding equity-based compensation)</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2026 were $22.0 million, compared to $16.7 million for the three months ended March 31, 2025. The increase of $5.3 million was primarily due to increases in equity-based compensation and personnel-related expenses of $2.9 million and $2.3 million, respectively, primarily driven by increased headcount and an increase in the fair value of equity awards granted. The increase in total general and administrative expense was the result of the expansion of our operations to support the growth in our business.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increased $0.9 million for the three months ended March 31, 2026, compared to the three months ended March 31, 2025, which was primarily related to interest on our cash, cash equivalents and marketable securities.</w:t>
      </w:r>
    </w:p>
    <w:p>
      <w:pPr>
        <w:spacing w:after="0" w:line="266"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losses. We have not yet commercialized any of our programs, which are in various phases of early-stage and late-stage development, and we do not expect to generate revenue from sales of any of our programs for several years, if at all. To date, we have financed our operations from the proceeds from the issuance of preferred units and the sale of common stock in our initial public offering (“IPO”), our March 2024 Offering (as defined below), our ATM Facility, our October 2025 Offering (as defined below) and our March 2026 Offering (as defined below). As of March 31, 2026, we had cash and cash equivalents of $451.8 million, marketable securities of $608.1 million and long-term marketable securities of $198.4 million.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Prior to our IPO, we received gross proceeds of $169.0 million from the sales of our preferred units. In connection with our IPO in July 2023, we issued and sold an aggregate of 20,297,500 shares of common stock (inclusive of 2,647,500 shares of common stock pursuant to the exercise in full of the underwriters’ option to purchase additional shares) at a price of $17.00 per share for net proceeds of $315.4 million, after deducting underwriting discounts and commissions and other offering expenses.</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March 2024, we issued and sold an aggregate of 7,790,321 shares of common stock (inclusive of 1,016,128 shares pursuant to the exercise in full of the underwriters’ option to purchase additional shares) at a public offering price of $62.00 per share, for net proceeds of $450.0 million after deducting underwriting discounts and commissions, and other offering expenses (the “March 2024 Offering”).</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August 2024, we entered into an Open Market Sale Agreement (the “Sale Agreement”) with Jefferies LLC (the “Sales Agent”), pursuant to which we may offer and sell shares of common stock up to a maximum aggregate offering price of $300.0 million, from</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time to time, through an ATM Facility. During the year ended December 31, 2024, we sold 926,049 shares of common stock under the ATM Facility for gross proceeds of $44.9 million, less commissions and other offering expenses of $1.4 million. During the year ended December 31, 2025, we sold 1,175,701 shares of common stock under the ATM Facility for gross proceeds of $67.6 million, less commissions and other offering expenses of $2.0 million. During the three months ended March 31, 2026, we sold 369,220 shares of common stock under the ATM Facility for gross proceeds of $29.7 million, less commissions and other offering expenses of $0.8 million. As of March 31, 2026, $157.8 million remained available for sale under the Sale Agreement.</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2025, we issued and sold an aggregate of 8,048,782 shares of common stock (inclusive of 1,097,561 shares of common stock pursuant to the exercise in full of the underwriters’ option to purchase additional shares) at a public offering price of $41.00 per share, and, in lieu of common stock to certain investors, pre-funded warrants to purchase up to 365,853 shares of common stock at a public offering price of $40.99999 per pre-funded warrant (the “October 2025 Offering”). The pre-funded warrants have an exercise price of $0.00001 per share and are exercisable immediately. The aggregate net proceeds from the offering were $324.1 million after deducting underwriting discounts and commissions and estimated offering expenses payable by us.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March 2026, we issued and sold an aggregate of 5,750,000 shares of common stock (inclusive of 750,000 shares of common stock pursuant to the exercise in full of the underwriters’ option to purchase additional shares) at a public offering price of $70.00 per share (the “March 2026 Offering”). The aggregate net proceeds from the offering were $377.4 million after deducting underwriting discounts and commissions and estimated offering expenses payable by us.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We do not expect to generate revenue from product sales unless and until we successfully complete preclinical and clinical development of, receive regulatory approval for, and commercialize a product candidate and we do not know when that will occur, if at all. We expect our expenses to increase substantially in connection with our ongoing activities, particularly as we advance the preclinical and clinical activities. In addition, if we obtain regulatory approval for any product candidates, we expect to incur significant expenses related to product sales, marketing, and distribution to the extent that such sales, marketing and distribution are not the responsibility of potential collaborators. We expect to incur additional costs associated with operating as a public company. The timing and amount of our operating expenditures will depend largely on the factors set out above. For more information, see the section titled “Risk Factors—Risks Related to Our Limited Operating History, Financial Position and Capital Requirements.”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on many factors, including, but not limited to:</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zumilokibart (APG777), APG279, APG273, and APG808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results and costs of preclinical studies and clinical trials for any other current and future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programs and technologies that we develop or may in-license;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potential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approvals, if any, for any approved products in the United States and other jurisdictions, and the costs of post-marketing studies that could be required by regulatory authorities in jurisdictions where approval is obtained;</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claims of infringement, misappropriation or other violation of third-party intellectual property;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arrangements and entry into new collaborations and licensing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hiring additional clinical, quality control, manufacturing and other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adding operational, financial and management information systems and personnel;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global macroeconomic conditions, including inflation, slower growth or recession, new or increased tariffs and other barriers to trade, geopolitical conflict, changes to fiscal and monetary policy or government budget dynamics (particularly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the pharmaceutical and biotech areas), government shutdowns, volatility in financial markets and other challenges in the global economy;</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laboratory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programs.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programs and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We do not currently have any committed external source of funds. To the extent that we raise additional capital through the sale of equity or convertible debt securities, our stockholders’ ownership interests could be diluted, and the terms of these securities may include liquidation or other preferences that could adversely affect our stockholders’ rights.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 debt financing and preferred equity financing, if available, may involve agreements that include covenants limiting or restricting our ability to take specific actions, such as incurring debt, making capital expenditures or declaring dividends, and may require the issuance of warrants, which could potentially dilute our stockholders’ ownership interests.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strategic collaborations, licensing arrangements, royalty financings or other collaborations with third parties, we may have to relinquish valuable rights to our technologies, future revenue streams, research programs, or product candidates or grant licenses on terms that may not be favorable to us. Any additional fundraising efforts may divert our management from their day-to-day activities, which may adversely affect our business.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raise additional funds when needed or on acceptable terms, we may be required to delay, limit, suspend, or terminate our product development programs or any future commercialization efforts or grant rights to develop and market product candidates to third parties that we would otherwise prefer to develop and market ourselves.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we had $451.8 million of cash and cash equivalents, $608.1 million of marketable securities and $198.4 million of long-term marketable securities. Based on our current operating plan, as of the date of this Quarterly Report, we estimate that our existing cash, cash equivalents, marketable securities and long-term marketable securities will be sufficient to enable us to fund our operating expenses and capital expenditure requirements through at least the next 12 months following the issuance of our consolidated financial statements included elsewhere in this Quarterly Report. Moreover, based on our current operating plan, we estimate that such funds will be sufficient to enable us to fund our operating expenses and capital expenditure requirements into 2029 through a planned BLA filing for zumilokibart in AD. We have based this estimate on assumptions that may prove to be wrong, and we could exhaust our available capital resources sooner than we expect.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periods presented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50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6360" w:type="dxa"/>
            <w:vAlign w:val="bottom"/>
          </w:tcPr>
          <w:p>
            <w:pPr>
              <w:spacing w:after="0"/>
              <w:rPr>
                <w:sz w:val="15"/>
                <w:szCs w:val="15"/>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cash equivalents, and restricted cash provided by (used in):</w:t>
            </w:r>
          </w:p>
        </w:tc>
        <w:tc>
          <w:tcPr>
            <w:tcW w:w="13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32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(55,570)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(48,477)</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(35,349)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411,167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r>
      <w:tr>
        <w:trPr>
          <w:trHeight w:val="23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3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320,248</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(34,873)</w:t>
            </w:r>
          </w:p>
        </w:tc>
      </w:tr>
      <w:tr>
        <w:trPr>
          <w:trHeight w:val="20"/>
        </w:trPr>
        <w:tc>
          <w:tcPr>
            <w:tcW w:w="63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resulted primarily from our net losses adjusted for non-cash charges and changes in components of operating assets and liabilities, which are generally attributable to timing of payments, and the related effect on certain account balances, operational and strategic decisions and contracts to which we may be a party.</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operating activities used $55.6 million of cash, primarily due to a net loss of $74.1 million and amortization of discounts on marketable securities of $1.5 million. This was partially offset by non-cash charges of $17.2 million and $1.0 million for equity-based compensation and lease expense, respectively, and net changes in operating assets and liabilities of $1.5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operating activities used $48.5 million of cash, primarily due to a net loss of $55.3 million, net changes in our operating assets and liabilities of $2.9 million and amortization of discounts on marketable securities of $2.4 million. This was partially offset by non-cash charges of $11.1 million and $0.9 million for equity-based compensation and lease expense, respectively.</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net cash used in investing activities was $35.3 million, primarily related to the $183.2 million purchase of marketable securities. This was partially offset by $147.9 million in maturities of marketable securities.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net cash provided by investing activities was $13.0 million primarily related to $115.5 million in maturities of marketable securities. This was partially offset by the $98.2 million purchase of marketable securities and $4.3 million purchase of property and equipment.</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financing activities provided $411.2 million of cash, primarily related to the issuance and sale of 5,750,000 shares of common stock in our March 2026 Offering and the issuance of common stock under our ATM Facility.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2025, financing activities provided $0.6 million of cash, primarily related to the exercise of stock options.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contract manufacturing organizations (“CMOs”) and other third parties for preclinical research studies and testing, clinical trials, manufacturing and other services. Payments due upon cancellation consist only of payments for services provided and expenses incurred up to the date of cancellation, including non-cancelable obligations of our service providers and, in some cases, wind-down costs. The exact amounts of such obligations are dependent on the timing of termination and the terms of the associated agreement. Accordingly, these payments are not disclosed as the amount and timing of such payments are not known.</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agreements to license intellectual property include potential milestone payments that are dependent upon the development of products using the intellectual property licensed under the agreements and contingent upon the achievement of specific development and clinical milestones. As of March 31, 2026, we have incurred $17.0 million of the maximum aggregate potential milestone payments. We are also obligated to pay royalties to (i) Paragon at a royalty rate of a low single-digit percentage based on net sales of any products under the License Agreements, once commercialized and (ii) WuXi Biologics at a royalty rate of a fraction of a single digit percentage of global net sales of WuXi Biologics Licensed Products manufactured by a third-party manufacturer.</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are material or reasonably likely to become material to our financial condition or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as well as the reported revenues recognized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generally accepted in the United States of America that are most critical to the judgments and estimates used in the preparation of our condensed consolidated financial statements. While our significant accounting policies are described in more detail in Note 2 to our condensed consolidated financial statements appearing elsewhere in this Quarterly Report, we believe that our most critical accounting policies are those relating to Research and Development Expenses, which are described under the heading “Management’s Discussion and Analysis of Financial Condition and Results of Operations – Critical Accounting Policies and Significant Judgment and Estimates” in our Annual Report on Form 10-K. There have been no material changes to our critical accounting policies from those described in the Annual Report on Form 10-K.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reviewed all recently issued accounting standards and have determined that, other than as disclosed in Note 2 to our condensed consolidated financial statements included elsewhere in this Quarterly Report, such standards are not expected to have a material impact on our consolidated financial statements or do not otherwise apply to our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We had cash, cash equivalents, short-term and long-term marketable securities of $1.3 billion as of March 31, 2026, which consisted primarily of U.S. Treasury Securities, Commercial Paper, U.S. Government Bonds, and Corporate Securities.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 and intermediate-term duration, according to our audit committee-approved investment policy. Our investments are subject to interest rate risk and could fall in value if market interest rates increase. Our primary exposure to market risk is interest income volatility, which is sensitive to changes in the general level of interest rates; however due to the low risk profiles of our investments, we do not anticipate a significant exposure to interest rate risk on the fair market value of our investments. We believe the effect of a hypothetical 10% change in market interest rates would not have had a material impact on our historical consolidated financial statements for the periods presented.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majority of our transactions occur in U.S. dollars. However, we do have certain transactions that are denominated in currencies other than the U.S. dollar, and we therefore are subject to foreign exchange risk. The fluctuation in the value of the U.S. dollar against other currencies affects the reported amounts of expenses, assets and liabilities primarily associated with a limited number of clinical and manufacturing activities. Due to the uncertain timing of expected payments in foreign currencies, we do not utilize any forward exchange contracts. All foreign transactions settle on the applicable spot exchange basis at the time such payments or transactions are made. We believe the effect of a hypothetical 10% change in foreign currency exchange rates applicable to our business would not have had a material impact on our historical consolidated financial statements for the periods presented.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believe that inflation has had a material effect on our business, financial position or results of operations to date, we may experience some effect due to an impact on the costs to conduct clinical trials, manufacturing and supply costs, labor costs, and other operational costs. Inflationary costs could adversely affect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18" w:lineRule="exact"/>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as of the end of the period covered by this Quarterly Report, the effectiveness of our disclosure controls and procedures. Based on this evaluation of our disclosure controls and procedures as of March 31, 2026, our principal executive officer and principal financial officer concluded that our disclosure controls and procedures as of such date were effective at the reasonable assurance level. The term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(as defined below) means controls and other procedures of a company that are designed to ensure that information required to be disclosed by a company in the reports that it files or submits under the Exchange Act of 1934, as amended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you decide to invest in our common stock, you should consider carefully the risks described below, together with the other information contained in this Quarterly Report, including “Management’s Discussion and Analysis of Financial Condition and Results of Operations” and our unaudited condensed financial statements and related notes. We believe the risks described below are the risks that are material to us as of the date of this Quarterly Report.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If any of the following risks actually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Below is a summary of the material risks to our business, our operations and an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in its entirety before making investment decisions regarding our common stock.</w:t>
      </w:r>
    </w:p>
    <w:p>
      <w:pPr>
        <w:spacing w:after="0" w:line="75" w:lineRule="exact"/>
        <w:rPr>
          <w:sz w:val="20"/>
          <w:szCs w:val="20"/>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biotechnology company with a limited operating history, we are currently conducting clinical trials, and we have no products approved for commercial sale, which may make it difficult for you to evaluate our current business and likelihood of success and viability.</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in the future. If we are unable to raise such capital when needed, or on acceptable terms, we may be forced to delay, reduce and/or eliminate one or more of our development programs or future commercialization efforts.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we expect to incur significant losses for the foreseeable future and may not be able to achieve or sustain profitability in the future. We have no products approved for sale, have not generated any revenue from our programs and may never generate revenue or become profitable.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programs for the diseases addressed by our programs.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in clinical and preclinical stages of development and may fail in development or suffer delays that materially and adversely affect their commercial viability.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programs, zumilokibart (APG777), APG279, APG273, APG990, APG333 and APG808, and our ongoing and anticipated clinical trials of such programs may not be successful.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our programs has not yet led to regulatory approval, and if approval is ultimately achieved, we may not be successful in our efforts to build a pipeline of programs with commercial value.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involves a lengthy and expensive process that is subject to delays and with uncertain outcomes, and results of earlier studies and trials may not be predictive of future clinical trial results.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future clinical trials, our clinical development activities could be delayed or otherwise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collaborations and licensing arrangements with third parties. If we are unable to maintain these collaborations or licensing arrangements, or if these collaborations or licensing arrangements are not successful, our business could be negatively impacted.</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0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programs.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rely in the future, on the use of manufacturing suites in third-party facilities or on third parties to manufacture our products,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proprietary rights is uncertain, exposing us to the possible loss of competitive advantage.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patent infringement claims or may need to file claims to protect our intellectual property, which could result in substantial costs and liability and prevent us from commercializing our potential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other comparable foreign regulatory authorities are lengthy, time-consuming and inherently unpredictable.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biotechnology company with a limited operating history, we are currently conducting clinical trials, and we have no products approved for commercial sale, which may make it difficult for you to evaluate our current business and likelihood of success and viability.</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 stage biotechnology company with limited operating history. Since our inception in 2022, we have incurred significant operating losses and have utilized substantially all of our resources to date in-licensing and developing our programs, organizing and staffing our company and providing other general and administrative support for our operations. We have limited experience as a company in initiating, conducting or completing clinical trials. In part because of this limited experience, we cannot be certain that our planned clinical trials will begin or be completed on time, if at all, or that our ongoing clinical trials will be completed on time, if at all. In addition, we have not yet demonstrated an ability to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restrictions, difficulties, complications, delays and other known and unknown factors. We continue to work to transition from a company with an early research and development focus to a company capable of supporting larger scale clinical trials and eventually commercial activities. We may not be successful in such a transition.</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in the future. If we are unable to raise such capital when needed, or on acceptable terms, we may be forced to delay, reduce and/or eliminate one or more of our development programs or future commercialization efforts.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Developing biotechnology products is a very long, time-consuming, expensive and uncertain process that takes years to complete. We expect our expenses to increase in connection with our ongoing activities, particularly as we conduct clinical trials of, and seek marketing approval for our programs, zumilokibart, APG279, APG273, APG990, APG333 and APG808, and any future programs and product candidates. Even if one or more of the product candidates that we develop is approved for commercial sale, we anticipate incurring significant costs associated with sales, marketing, manufacturing and distribution activities to launch any such product. Our expenses could increase beyond expectations if we are required by the FDA or other regulatory agencies to perform preclinical studies or clinical trials in addition to those that we are currently conducting or anticipate.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the design of our planned and anticipated clinical trials, as well as the outcome of our ongoing, planned and anticipated clinical trials are highly uncertain, we cannot reasonably estimate the actual amount of funding that will be necessary to successfully complete the development and commercialization of any program we develop. Our future capital requirements depend on many factors, including but not limited to:</w:t>
      </w:r>
    </w:p>
    <w:p>
      <w:pPr>
        <w:spacing w:after="0" w:line="68" w:lineRule="exact"/>
        <w:rPr>
          <w:sz w:val="20"/>
          <w:szCs w:val="20"/>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zumilokibart, APG279, APG273, APG990, APG333 and APG808 programs, including for expansion indications beyond AD, asthma and EoE;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studies and clinical trials for any other current and future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programs and technologies that we develop or may in-license;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approvals, if any, for any approved products in the United States and other jurisdictions, and the costs of post-marketing studies that could be required by regulatory authorities in jurisdictions where approval is obtained;</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claims of infringement, misappropriation or other violation of third-party intellectual property;</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collaborations and licensing and other arrangements and entry into new collaborations and licensing and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hiring additional clinical, quality control, manufacturing and other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adding operational, financial and management information systems and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laboratory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products for which we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programs.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Accordingly, we will require substantial additional funding to continue our operations. Based on our current operating plan, we estimate that our existing cash, cash equivalents, and marketable securities will be sufficient to enable us to fund our operating expenses and capital expenditure requirements into 2029 through a planned BLA filing for zumilokibart in AD. We have based this estimate on assumptions that may prove to be incorrect, and we could use our available capital resources sooner than we currently anticipate.</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do not have any committed external sources of funds and adequate additional financing may not be available to us on acceptable terms, or at all. We may be required to seek additional funds sooner than planned through public or private equity offerings, debt financings, collaborations and licensing arrangements or other sources. Such financing may dilute our stockholders or the failure to obtain such financing may restrict our operating activities. Any additional fundraising efforts may divert our management from their day-to-day activities, which may adversely affect our business.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may result in imposition of debt covenants, increased fixed payment obligations or other restrictions that may affect our business. If we raise additional funds through strategic collaborations, licensing arrangements, royalty financings or other collaborations with third parties, we may have to relinquish valuable rights to our technologies, future revenue streams, research programs, or product candidates or grant licenses on terms that may not be favorable to us. Our ability to raise additional capital may be adversely impacted by global macroeconomic conditions and volatility in the credit and financial markets in the United States and worldwide, including resulting from tariffs and trade restrictions, public health crises, the conflict between Russia and Ukraine or the conflicts in the Middle East. For example, escalating trade tensions, uncertainty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around interest rates and regulatory uncertainty have caused significant market volatility in recent months, and particularly in the biotechnology and biopharmaceutical industries, which such volatility can have an adverse effect on the ability to raise capital. Our failure to raise capital as and when needed or on acceptable terms would have a negative impact on our financial condition and our ability to pursue our business strategy, and we may be required to delay, limit, suspend or terminate our product development programs. Our failure to raise capital as and when needed or on acceptable terms could also have a negative impact on any future commercialization efforts or we may be required to grant rights to develop and market product candidates to third parties that we would otherwise prefer to develop and market ourselves.</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we expect to incur significant losses for the foreseeable future and may not be able to achieve or sustain profitability in the future. We have no products approved for sale, have not generated any revenue from our programs and may never generate revenue or become profitable.</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Investment in biotechnology product development is a highly speculative undertaking and entails substantial upfront capital expenditures and significant risks that any program will fail to demonstrate adequate efficacy or an acceptable safety profile, gain regulatory approval and become commercially viable. We have no products approved for commercial sale, we have not generated any revenue from product sales to date, and we continue to incur significant research and development and other expenses related to our ongoing operations. We do not expect to generate product revenue unless or until we successfully complete preclinical and clinical development and obtain regulatory approval of, and then successfully commercialize, at least one of our product candidates. We may never succeed in these activities and, even if we do, may never generate revenues that are significant or large enough to achieve profitability. If we are unable to generate sufficient revenue through the sale of any approved products, we may be unable to continue operations without additional funding.</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net losses in each period since we commenced operations in February 2022. We generated a net loss of $74.1 million for the three months ended March 31, 2026. As of March 31, 2026, we had an accumulated deficit of $635.9 million. We expect to continue to incur significant losses for the foreseeable future. Our operating expenses and net losses may fluctuate significantly from quarter to quarter and year to year. We anticipate that our expenses will increase substantially if and as we:</w:t>
      </w:r>
    </w:p>
    <w:p>
      <w:pPr>
        <w:spacing w:after="0" w:line="72"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existing and future programs through preclinical and clinical development, including expansion into additional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establish and maintain additional collaborations and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payments to Paragon under the Option Agreements and licensing and royalty payments to WuXi Biologics under the Cell Line License Agreement and under any additional future collaboration or license agreements that we enter into;</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drug products for which we may obtain marketing approval, either by ourselves or in collaboration with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revenue from commercial sales of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research and development, clinical and commercial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intellectual property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manufacture our clinical supplies and access commercial-scale current good manufacturing practices (“cGMP”) capacity and capabilities through third parties or our own manufacturing facility;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our expenses will increase if, among other things, we are required by the FDA or other regulatory authorities to perform trials or studies in addition to, or different than, those that we currently anticipate, there are any delays in completing our clinical trials or the development of any of our programs, or there are any third-party challenges to our intellectual property or we need to defend against any intellectual property-related claim.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obtain marketing approval for, and are successful in commercializing, one or more of our product candidates, we expect to incur substantial additional research and development and other expenditures to develop and market additional product candidates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failure to become profitable would decrease the value of our company and could impair our ability to raise capital, maintain our research and development efforts, expand our business and/or continue our operations. A decline in the value of our company could also cause you to lose all or part of your investment.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and Commercialization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programs for the diseases addressed by our product candidates.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drugs is highly competitive. Our product candidates, if approved, will face significant competition and our failure to effectively compete may prevent us from achieving significant market penetration. We compete with a variety of multinational biopharmaceutical companies, specialized biotechnology companies and emerging biotechnology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patient registration for clinical trials, as well as in acquiring technologies complementary to, or necessary for, our programs.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competitors have developed, are developing or will develop programs and processes competitive with our programs and processes. Competitive therapeutic treatments include those that have already been approved and accepted by the medical community and any new treatments that are in development and approved following the launch of our products. Our success will depend partially on our ability to develop and commercialize products that have a competitive safety, efficacy, dosing and/or presentation profile. Our commercial opportunity and success could be reduced or eliminated if competing products are safer, more effective, have a more attractive dosing profile or presentation or are less expensive than the products we develop, or if biosimilars enter the market more quickly than we do and are able to gain market acceptance. See the section titled “Business—Competition” in our Annual Report on Form 10-K for the year ended December 31, 2025 for a more detailed description of our competitors and the factors that may affect the success of our programs.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because of the competitive landscape for I&amp;I indications, we may also face competition for clinical trial enrollment. Patient enrollment will depend on many factors, including if potential clinical trial patients choose to undergo treatment with approved products or enroll in competitors’ ongoing clinical trials for product candidates that are under development for the same indications as our product candidates. An increase in the number of approved products for the indications we are targeting with our programs may further exacerbate this competition. Our inability to enroll a sufficient number of patients could, among other things, delay our development timeline, which may further harm our competitive position.</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programs are in clinical and preclinical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no products on the market and we have not completed any pivotal clinical trials. As a result, we expect it will be many years before we commercialize any product candidate, if ever. Our ability to achieve and sustain profitability depends on obtaining regulatory approvals for, and successfully commercializing, our product candidates, either alone or with third parties, and we cannot guarantee you that we will ever obtain regulatory approval for any of our product candidates. We have not yet demonstrated our ability to complete any pivotal clinical trials, obtain regulatory approvals, manufacture a commercial scale product or arrange for a third party to do so on our behalf, or conduct sales and marketing activities necessary for successful product commercialization. Before obtaining regulatory approval for the commercial distribution of our product candidates, we or an existing or future collaborator must conduct extensive preclinical tests and clinical trials to demonstrate the safety and efficacy in humans of our programs and future product candidates.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or our collaborators may experience delays in initiating or completing clinical trials. We or our collaborators also may experience numerous unforeseen events during, or as a result of, any current or future clinical trials that we could conduct that could delay or prevent our ability to receive marketing approval or commercialize our product candidates or any future product candidates, including:</w:t>
      </w:r>
    </w:p>
    <w:p>
      <w:pPr>
        <w:spacing w:after="0" w:line="68" w:lineRule="exact"/>
        <w:rPr>
          <w:sz w:val="20"/>
          <w:szCs w:val="20"/>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the FDA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protocols or dropping out of a trial;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programs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any programs may be larger than we anticipate, especially if regulatory bodies require completion of non-inferiority or superiority trials, enrollment in these clinical trials may be slower than we anticipate or subjects may drop out of these clinical trials or fail to return for post-treatment follow-up at a higher rate than we anticipate;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or ethics committees may require that we or our investigators amend clinical trial protocols, which could extend the development timeline of our programs;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of our programs may be greater than we anticipate;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programs or other materials necessary to conduct clinical trials of our programs may be inadequate to initiate or complete a given clinical trial;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manufacture sufficient quantities of our drug products for use in clinical trials, or there may be delays in manufacturing or distribution;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or efficacy concerns about our programs;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establish an appropriate safety profile for a program based on clinical or preclinical data for such programs as well as data emerging from other therapies in the same class as our programs;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proceed with proposed clinical trial.</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an IND or similar clinical trial application. In the event that the FDA requires us to complete additional preclinical studies or we are required to satisfy other FDA requests prior to commencing future clinical trials, the start of such clinical trials may be delayed. Even after we receive and incorporate guidance from these regulatory authorities, the FDA or other regulatory authorities could disagree that we have satisfied their requirements to commence any future clinical trial or change their position on the acceptability of our trial design or the clinical endpoints selected, which may require us to complete additional preclinical studies or clinical trials, delay the enrollment of our clinical trials or impose stricter approval conditions than we currently expect. There are equivalent processes and risks applicable to clinical trial applications in other countries, including the United Kingdom (“UK”) and countries in the European Union (“EU”).</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or to modify existing or enter into new collaborations for, a program if we experience any issues that delay or prevent regulatory approval of, or our ability to commercialize, our product candidates. We or our current or future collaborators’ inability to complete development of, or commercialize our product candidates, or significant delays in doing so, could have a material and adverse effect on our business, financial condition, results of operations and prospects.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 candidates, zumilokibart, APG279, APG273, APG990, APG333 and APG808 and our ongoing and anticipated trials may not be successful.</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timely obtain marketing approval for, and then successfully commercialize, our product candidates, including zumilokibart, APG279, APG273, APG990, APG333 and APG808. We are investing a majority of our efforts and financial resources into the research and development of these product candidates and currently have ongoing clinical trials in zumilokibart, APG279, APG990, APG333, and APG808. The success of our product candidates is substantially dependent on observing a longer half-life of our product candidates in humans than other mAbs currently marketed and in development as we believe this longer half-life has the potential to result in a more favorable dosing schedule for our product candidates, assuming they successfully complete clinical development and obtain marketing approval. This is based in part on the assumption that the longer half-life we have observed in non-human primates (“NHPs”) will translate into an extended half-life of our product candidates in humans. To the extent we do not observe this extended half-life when we dose humans with our product candidates or if there are unexpected tolerability issues, including when dosed in combination, it would significantly and adversely affect the clinical and commercial potential of our product candidates.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these product candidates, or any other product candidates, before we receive marketing approval from the FDA and comparable foreign regulatory authorities, and we may never receive such marketing approvals.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success of our product candidates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Accordingly, we cannot assure you that we will ever be able to generate revenue through the sale of these products, even if approved. If we are not successful in commercializing zumilokibart, APG279, APG273, APG990, APG333, and APG808 including potential combinations of certain of our product candidates, or are significantly delayed in doing so, our business will be materially harmed.</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 candidates may be delayed and our expenses may increase and, as a result, our stock price may decline.</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receipt of interim results or completion of scientific studies and clinical trials, such as the expected timing for Phase 2 APEX Part B topline induction data and Part B maintenance data, initiation of the Phase 3 trial of zumilokibart for AD, initiation of clinical trials of zumilokibart for asthma and EoE, and the Phase 1b head-to-head clinical trial of APG279 against DUPIXENT in AD,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For example, we plan to conduct clinical trials in asthma and EoE with trial designs informed by the Phase 2 APEX Part B clinical trial of zumilokibart, as well as the Phase 1b clinical trial of zumilokibart in asthma, which will result in a delay to the previously communicated initiation timing of the zumilokibart Phase 2b clinical trials in asthma and EoE. This change in milestone timing and any inability to meet other milestones as publicly announced, or at all, may delay the commercialization of our product candidates or commercialization may never be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our programs has not yet led to regulatory approval, and if approval is ultimately achieved, we may not be successful in our efforts to build a pipeline of programs with commercial value.</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approach to the discovery and development of our programs leverages clinically validated mechanisms of action and incorporates advanced antibody engineering to optimize half-life and other properties designed to overcome limitations of existing therapies. Our programs are purposefully designed to improve upon existing product candidates and products while maintaining the same, well-established mechanisms of action. However, the scientific research that forms the basis of our efforts to develop programs using half-life extension technologies, including YTE and LS amino acid modification, is ongoing and may not result in viable product candidates. We have limited clinical data on product candidates utilizing YTE and LS half-life extension technologies, especially in I&amp;I indications, demonstrating whether they are safe or effective for long-term treatment in humans. The long-term safety and efficacy of these technologies and the extended half-life and exposure profile of our product candidates compared to currently approved products is unknown.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may in the future seek to discover and develop programs that are based on novel targets and technologies that are unproven. If our discovery activities fail to identify novel targets or technologies for drug discovery, or such targets prove to be unsuitable for treating human disease, we may not be able to develop viable additional programs. We and our existing or future collaborators may never receive approval to market and commercialize any program.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our programs prove to be ineffective, unsafe or commercially unviable, our programs and pipeline would have little, if any, value, which would have a material and adverse effect on our business, financial condition, results of operations and prospects.</w:t>
      </w:r>
    </w:p>
    <w:p>
      <w:pPr>
        <w:spacing w:after="0" w:line="2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that is subject to delays and with uncertain outcomes, and results of earlier studies and trials may not be predictive of future clinical trial results. If our preclinical studies and clinical trials are not sufficient to support regulatory approval of any of our programs, we may incur additional costs or experience delays in completing, or ultimately be unable to complete, the development of such program.</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we must complete preclinical studies and conduct extensive clinical trials to demonstrate the safety and efficacy of our program in humans. Our clinical trials may not be conducted as planned or completed on schedule, if at all, and failure can occur at any time during the preclinical study or clinical trial process. For example, we depend on the availability of NHPs to conduct certain preclinical studies that we are required to complete prior to submitting an IND or foreign equivalent prior to initiating clinical development, and prior to submitting a marketing application. During the past several years, there was a global shortage of NHPs available for drug development. If the shortages occur in the future, this could cause significantly increased costs of obtaining or decreased availability of NHPs for our future preclinical studies. This could also result in delays in our development and approval timelines.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Furthermore, a failure of one or more clinical trials can occur at any stage of testing. The outcome of preclinical studies and early-stage clinical trials may not be predictive of the success of later clinical trials. Our clinical trials are subject to significant risk factors that can have a material and negative impact on outcomes, many of which are beyond our control. Such factors include unexpectedly high placebo rates, safety limitations and/or tolerability concerns. Other factors that can impact our clinical trial results include, without limitation, patient baseline demographics, clinical protocol adherence, and physician and patient scored outcome measures, among others.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In addition, we expect to rely on patients to provide feedback on measures such as itch and quality of life, which are subjective and inherently difficult to evaluate. These measures can be influenced by factors outside of our control, and can vary widely from day-to-day for a particular patient, and from patient to patient and from site to site within a clinical trial.</w:t>
      </w:r>
    </w:p>
    <w:p>
      <w:pPr>
        <w:spacing w:after="0" w:line="1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be sure that the FDA will agree with our clinical development plan. We used the data from our Phase 1 trial of zumilokibart in healthy volunteers to support our Phase 2 trial in AD and plan to use such data to support Phase 2 trials in other I&amp;I indications. If the FDA requires us to conduct additional trials, enroll additional patients, or imposes trial enrollment restrictions for zumilokibart or any of our other programs, our development timelines may be delayed. We cannot be sure that submission of an IND, biologics license application (“BLA”) or similar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in vivo or in vitro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at each clinical trial site; challenges and delays in activating planned clinical trial sites globally due to the impact of geopolitical tensions; delays in manufacturing, testing, releasing, validating or importing/exporting sufficient stable quantities of our programs for use in clinical trials or the inability to do any of the foregoing; failure by our CROs, other third parties or us to adhere to clinical trial protocols; failure to perform in accordance with the FDA’s or any other regulatory authority’s good clinical practice requirements (“GCPs”) or applicable regulatory guidelines in other countries; changes to the clinical trial protocols; clinical sites deviating from trial protocol or dropping out of a trial; changes in regulatory requirements and guidance that require amending or submitting new clinical protocols; selection of clinical endpoints that require prolonged periods of observation or analyses of resulting data; transfer of manufacturing processes to larger-scale facilities operated by a CMO and delays or failure by our CMOs or us to make any necessary changes to such manufacturing process; and third parties being unwilling or unable to satisfy their contractual obligations to us.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clinical trials are being conducted, by the Data Safety Monitoring Board or equivalent body, if any, for such clinical trial or by the FDA or comparable foreign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programs, changes in governmental regulations or administrative actions or lack of adequate funding to continue the clinical trial. If we are required to conduct additional clinical trials or other testing of our programs beyond those that we currently contemplate, if we are unable to successfully complete clinical trials of our programs, if the results of these trials are not positive or are only moderately positive or if there are safety concerns, our business and results of operations may be adversely affected and we may incur significant additional costs.</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anticipate developing certain product candidates for use in combination with one or more of our other product candidates, and regulatory issues, safety issues and efficacy results of the monotherapy product candidate may delay or prevent the development, approval and successful commercialization of our combination therapies.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developing certain product candidates for use in combination with one or more of our other product candidates, which may subject us to additional risks that are not faced for product candidates being administered as monotherapy. Obtaining approval for one or both monotherapies would not support regulatory approval, marketing or sale of the combination therapy.</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benefit risk profile of the combination therapy may be impacted by the efficacy and safety profile of the monotherapy. The adverse side effects of our monotherapy product candidates may be enhanced when combined with other product candidates. If such adverse side effects are experienced, we could be required to conduct additional preclinical and clinical studies, and if such adverse side effects are severe, we may not be able to continue the clinical trials of the combination therapy because the risks may outweigh the therapeutic benefit of the combination. In addition, the FDA or comparable foreign regulatory authorities may require us to conduct additional unplanned clinical trials, or to use more complex clinical trial designs in order to evaluate the contribution of each product candidate to any observed effects. Further, we cannot be sure that healthcare providers will view our product candidates, if approved as part of a combination treatment, as sufficiently superior to a treatment regimen consisting of only the monotherapy product candidate.</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current and future clinical trials, our clinical development activities could be delayed or otherwise adversely affected.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current and future clinical trials for a variety of reasons. The timely completion of clinical trials in accordance with their protocols depends, among other things, on our ability to enroll a sufficient number of patients who remain in the trial until its conclusion. The enrollment of patients in current or future trials for any of our programs will depend on many factors, including if patients choose to enroll in clinical trials, rather than using approved products, or if our competitors have ongoing clinical trials for programs that are under development for the same indications as our programs, and patients instead enroll in such clinical trials. Also, if we are unable to enroll a sufficient number of patients with the necessary baseline characteristics, our placebo rates, clinical trial results and the patient population indicated on the label approved by the FDA could be impacted. Additionally, the number of patients required for clinical trials of our programs may be larger than we anticipate, especially if regulatory bodies require the completion of non-inferiority or superiority trials. Even if we are able to enroll a sufficient number of patients for our current or future clinical trials, we may have difficulty maintaining patients in our clinical trials. Our inability to enroll or maintain a sufficient number of patients would result in significant delays in completing clinical trials or receipt of marketing approvals and increased development costs or may require us to abandon one or more clinical trials altogether.</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“topline” or interim data from our clinical trials that we announce or publish from time to time may change as more patient data become available and are subject to audit and verification procedures.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preliminary or topline data should be viewed with caution until the final data are available. 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w:t>
      </w:r>
    </w:p>
    <w:p>
      <w:pPr>
        <w:sectPr>
          <w:pgSz w:w="11900" w:h="16838" w:orient="portrait"/>
          <w:cols w:equalWidth="0" w:num="1">
            <w:col w:w="11240"/>
          </w:cols>
          <w:pgMar w:left="320" w:top="11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trials continue other treatments.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program and our company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clinical trials or those of our future collaborators may reveal significant adverse events or undesirable side effects not seen in our preclinical studies and may result in a safety profile that could halt clinical development, inhibit regulatory approval or limit commercial potential or market acceptance of any of our product candidates.</w:t>
      </w:r>
    </w:p>
    <w:p>
      <w:pPr>
        <w:spacing w:after="0" w:line="67" w:lineRule="exact"/>
        <w:rPr>
          <w:sz w:val="20"/>
          <w:szCs w:val="20"/>
          <w:color w:val="auto"/>
        </w:rPr>
      </w:pPr>
    </w:p>
    <w:p>
      <w:pPr>
        <w:jc w:val="both"/>
        <w:ind w:firstLine="509"/>
        <w:spacing w:after="0" w:line="217" w:lineRule="exact"/>
        <w:rPr>
          <w:sz w:val="20"/>
          <w:szCs w:val="20"/>
          <w:color w:val="auto"/>
        </w:rPr>
      </w:pPr>
      <w:r>
        <w:rPr>
          <w:rFonts w:ascii="Times New Roman" w:cs="Times New Roman" w:eastAsia="Times New Roman" w:hAnsi="Times New Roman"/>
          <w:sz w:val="18"/>
          <w:szCs w:val="18"/>
          <w:color w:val="auto"/>
        </w:rPr>
        <w:t>Results of our clinical trials could reveal a high and unacceptable severity and prevalence of side effects, adverse events or unexpected characteristics. While our preclinical studies in NHPs and those of our clinical trials for which we have disclosed data have not shown any such characteristics to date, we cannot assure you that the results of our clinical trials will not reveal such characteristics. If significant adverse events or other side effects are observed in any of our current or future clinical trials, we may have difficulty recruiting patients to such trials, patients may drop out of our trials, or we may be required to abandon the trials or our development efforts of one or more programs altogether. For example, certain drugs targeting 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 including zumilokibart, in the Part A portion of our APEX Phase 2 clinical trial, or IL-4Rα have demonstrated increased conjunctivitis in patients with AD. We, the FDA or other applicable regulatory authorities, or an IRB, may suspend any clinical trials of any program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preclinical studies, which side effects do not present themselves in clinical trials in humans. Even if the side effects do not preclude the program from obtaining or maintaining marketing approval, undesirable side effects may inhibit market acceptance of the approved product due to its tolerability versus other therapies. In addition, an extended half-life could prolong the duration of undesirable side effects, which could also inhibit market acceptance. TEAEs could also affect patient recruitment or the ability of enrolled subjects to complete our clinical trials or could result in potential product liability claims. Potential side effects associated with our programs may not be appropriately recognized or managed by the treating medical staff, as toxicities resulting from our programs may not be normally encountered in the general patient population and by medical personnel. In addition, safety issues associated with competing products that target similar pathways could result in the FDA or comparable foreign regulatory authorities imposing restrictions on our clinical trials or product labeling or denying approval of our products. Any of these occurrences could harm our business, financial condition, results of operations and prospects significantly.</w:t>
      </w:r>
    </w:p>
    <w:p>
      <w:pPr>
        <w:spacing w:after="0" w:line="20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even if we successfully advance our programs or any future program through clinical trials, such trials will only include a limited number of patients and limited duration of exposure to our product candidates. As a result, we cannot be assured that adverse effects of our programs will not be uncovered when a significantly larger number of patients are exposed to the program after approval. Further, any clinical trials may not be sufficient to determine the effect and safety consequences of using our programs over a multi-year period.</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any of the foregoing events occur or if one or more of our programs prove to be unsafe, our entire pipeline could be affected, which would have a material adverse effect on our business, financial condition, results of operations and prospects.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program and fail to capitalize on programs that may be more profitable or for which there is a greater likelihood of success.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Because we have limited financial and managerial resources, we focus our research and development efforts on certain selected programs.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example, we are initially focused on our current programs, zumilokibart, APG279, APG273, APG990, APG333 and APG808, alone or in combination.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program, we may relinquish valuable rights to that program through collaboration, licensing or other royalty arrangements in cases in which it would have been more advantageous for us to retain sole development and commercialization rights to such program.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approved products resulting from our current programs or any future program may not achieve adequate market acceptance among clinicians, patients, healthcare third-party payors and others in the medical community necessary for commercial success and we may not generate any future revenue from the sale or licensing of such products.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resulting from one of our current or future programs, they may not gain market acceptance among physicians, patients, healthcare payors or the medical community. We may not generate or sustain revenue from sales of the product due to factors such as whether the product gains payor access, can be sold at a competitive price and will otherwise be accepted in the market.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example, there are several approved products and product candidates in later stages of development for the treatment of AD, including DUPIXENT, EBGLYSS, ADBRY and NEMLUVIO in the United States and EU; all approved treatments for moderate-to-severe AD. However, our programs in development for AD incorporate advanced antibody engineering to optimize half-life of antibodies targeting IL-13 and OX40L; to date, no such antibody has been approved by the FDA for the treatment of AD. Market participants with significant influence over acceptance of new treatments, such as clinicians and third-party payors, may not adopt a biologic that incorporates half-life extension for our targeted indications, and we may not be able to convince the medical community and third-party payors to accept and use, or to provide favorable reimbursement for, any programs developed by us or our existing or future collaborators. An extended half-life may make it more difficult for patients to change treatments and there is a perception that half-life extension could exacerbate side effects or lead to a longer duration of any side effects, each of which may adversely affect our ability to gain market acceptance. Market acceptance of our programs will depend on many factors, including factors that are not within our control.</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medical/pharmaceutical products also depend on the willingness of clinicians to prescribe the treatment. We cannot predict whether clinicians, clinicians’ organizations, hospitals, clinics, other healthcare providers (“HCPs”), government agencies or private insurers will determine that our product is safe, therapeutically effective, cost effective or less burdensome as compared with competing treatments. If any current or future program is approved but does not achieve an adequate level of acceptance by such parties, we may not generate or derive sufficient revenue from that program and may not become or remain profitable.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programs may compete with our other programs, which could negatively impact our business and reduce our future revenue.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developing monotherapy and combination programs which may compete with one another. For example, we are developing zumilokibart and APG279 for the same indication: moderate to severe AD, and may in the future develop our programs for other I&amp;I indications. Each such program targets single or multiple mechanisms that could provide differentiation from standard of care or each other. Based on the distinct mechanisms of action, we are developing zumilokibart as a frontline treatment for patients with moderate-to-severe AD who have failed or have an inadequate response to topical corticosteroids. APG279 may serve as alternative treatments for frontline patients and/or patients who have failed or have inadequate responses to other treatment options. However, developing multiple programs for a single indication may negatively impact the market share of each individual program if the programs compete with each other. For example, if multiple programs are conducting clinical trials at the same time, they could compete for the enrollment of patients. In addition, if multiple programs are approved for the same indication, they may compete for the same patients, which could impact our product development timelines and limit our future revenue.</w:t>
      </w:r>
    </w:p>
    <w:p>
      <w:pPr>
        <w:spacing w:after="0" w:line="2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conducting and may conduct future clinical trials for our programs at sites outside the United States, and the FDA may not accept data from trials conducted in such locations.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conducting ongoing clinical trials, which include sites outside the United States, and we may choose to conduct one or more of our future clinical trials outside the United States. Although the FDA may accept data from clinical trials conducted outside the United States, acceptance of this data is subject to conditions and guidance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United States or to continue such trials once initiated.</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conducting international clinical trials presents additional risks that may delay completion of our clinical trials. These risks include the failure of enrolled patients in foreign countries to adhere to clinical protocol as a result of differences in healthcare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services or cultural customs that could restrict or limit our ability to conduct our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collaborations and licensing arrangements with third parties, including our collaboration with Paragon. If we are unable to maintain these collaborations or licensing arrangements, or if these collaborations or licensing arrangements are not successful, our business could be negatively impacted.</w:t>
      </w:r>
    </w:p>
    <w:p>
      <w:pPr>
        <w:spacing w:after="0" w:line="67"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currently rely on our collaborations and licensing arrangements with third parties, including Paragon, for a substantial portion of our discovery capabilities and in-licenses. We consider Paragon to be a related party because Fairmount Funds Management LLC, which beneficially owns more than 5% of Paragon, beneficially owns more than 5% of our capital stock and, as of the date of this Quarterly Report, has one seat on our Board of Directors (the “Board”).</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Collaborations or licensing arrangements that we enter into may not be successful, and any success will depend heavily on the efforts and activities of such collaborators or licensors. If any of our collaborators or licensors experiences delays in performance of, or fails to perform its obligations under their agreement with us, disagrees with our interpretation of the terms of such agreement or terminates their agreement with us, our pipeline and programs and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collaborators could independently develop, or develop with third parties, products that compete directly or indirectly with our programs and product candidates if the collaborators believe that the competitive products are more likely to be successfully developed or can be commercialized under terms that are more economically attractive than ours.</w:t>
      </w:r>
    </w:p>
    <w:p>
      <w:pPr>
        <w:spacing w:after="0" w:line="1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part of our strategy, we plan to evaluate additional opportunities to enhance our capabilities and expand our development pipeline or provide development or commercialization capabilities that complement our own. We may not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utilized and plan to continue to utilize and depend upon independent investigators and collaborators, such as medical institutions, CROs, contract testing labs and strategic partners, to conduct and support our preclinical studies and clinical trials under agreements with us. We will rely heavily on these third parties over the course of our preclinical studies and clinical trials, and we only control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and in some instances GLP regulations, which are regulations and guidelines enforced by the FDA and comparable foreign regulatory authorities for all of our programs in clinical development. If we or any of these third parties fail to comply with applicable GCP or GLP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products produced under cGMP regulations. Our failure to comply with these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00" w:lineRule="exact"/>
        <w:rPr>
          <w:sz w:val="20"/>
          <w:szCs w:val="20"/>
          <w:color w:val="auto"/>
        </w:rPr>
      </w:pPr>
    </w:p>
    <w:p>
      <w:pPr>
        <w:spacing w:after="0" w:line="20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third parties conducting our clinical trials will not be our employees and, except for remedies available to us under our agreements with such third parties, we cannot control whether they devote sufficient time and resources to our programs. These third parties may be involved in mergers, acquisitions or similar transactions and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current or future product candidates.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foreign CMOs may expose us to supply chain disruption, delays in our clinical development programs, regulatory risks and increased costs, which may have a material adverse effect on our business, financial condition, results of operations and prospects.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currently rely on foreign CMOs, including WuXi Biologics and Samsung Biologics, and will likely continue to rely on foreign CMOs in the future. Foreign CMOs may be subject to U.S. legislation, including the BIOSECURE Act,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Since February 2025, the United States government has imposed various tariffs on imports from China, South Korea and other countries and may impose more restrictions on goods, including biologically derived substances, manufactured in or imported from China, South Korea or impose other restrictions on companies’ ability to work with Chinese and South Korean biotechnology companies. To the extent these or future tariffs are applicable to the material we import from China, South Korea and other countries, our financial condition could be adversely affected.</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 the biopharmaceutical industry in China is strictly regulated by the Chinese government. Changes to Chinese regulations or government policies affecting biopharmaceutical companies are unpredictable and may have a material adverse effect on our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United States and the U.K., could also negatively impact our ability to manufacture our product candidates for our planned clinical trials or have an adverse effect on our ability to secure government funding, which could adversely affect our financial condition and cause us to delay our clinical development programs.</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third-party facilities and on third parties to manufacture and test our product candidates, and we may rely on third parties to produce and process our products, if approved. Our business could be adversely affected if we are unable to use third-party manufacturing suites or testing facilities or if the third-party manufacturers encounter difficulties in production.</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clinical-scale manufacturing and processing facility and must currently rely on CMOs for developing, manufacturing and testing our product candidates. While we have manufactured zumilokibart drug substance at commercial scale, it has only been for use in clinical trials, and we have not yet demonstrated the ability to manufacture zumilokibart drug product or any of our other product candidates on a commercial scale and may not be able to successfully manufacture any of our product candidates for commercialization, if approved. We currently have two sources for our preclinical and clinical supply of zumilokibart drug substance and drug product and have entered into an agreement for the commercial supply of zumilokibart drug substance should the product candidate eventually receive regulatory approval, and we are working to finalize the terms of our potential commercial supply arrangement for zumilokibart drug product. We have a sole source relationship for our preclinical and clinical supply of APG990, APG333, and APG808 drug substance and drug product. If there should be any disruption in our supply arrangements,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including any adverse events affecting our sole suppliers, it could have a negative effect on the clinical development of our product candidates and other operations while we work to identify and qualify alternate supply sources. We may not control the manufacturing process of, and may be completely dependent on, our contract manufacturing partners for compliance with cGMP requirements and any other regulatory requirements of the FDA or comparable foreign regulatory authorities for the manufacture of our product candidates. Beyond periodic audits, we have no control over the ability of our CMOs to maintain adequate quality control, quality assurance and other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 operating restrictions and criminal prosecutions, any of which could significantly and adversely affect supplies of our product candidates and harm our business and results of operations.</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Moreover, our CMOs may experience manufacturing difficulties due to resource constraints, supply chain issues, human capital constraints, natural disasters or as a result of labor disputes or unstable political environments, including tariffs and restrictions imposed by the United States government and potential retaliatory measures by foreign governments, which impact goods required for the operation of their business. For example, in March 2026, the Samsung Biologics Co., Ltd. (“Samsung Biologics”) labor union voted in favor of a strike. Although this has not impacted the Company to date, a prolonged strike could lead to disruption at the Samsung Biologics manufacturing sites, which could impact the development or manufacturing of our product candidates. If any CMOs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and other vendors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refusal to permit the import or export of products or increased costs as a result of tariffs on imports imposed by the United States government.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resulting in higher costs or adversely impacting commercialization of our products. See the section titled “Business-Manufacturing and Supply” in our Annual Report on Form 10-K for the year ended December 31, 2025 for a more detailed description of our manufacturing and supply plans and assumptions and the factors that may affect the success of our product candidates.</w:t>
      </w:r>
    </w:p>
    <w:p>
      <w:pPr>
        <w:spacing w:after="0" w:line="2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deliver our product candidates via a pre-filled syringe, autoinjector or other drug delivery device presentation that will have its own regulatory, development, supply and other risks.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intend to deliver our product candidates via a pre-filled syringe, autoinjector or other drug delivery device presentation. There may be unforeseen technical complications related to the development activities required to bring such a product to market. Our product candidates may not be approved or may be substantially delayed in receiving approval if the device presentations do not gain and/or maintain their own regulatory approvals or clearances. Where approval of the drug product and device presentation is sought under a single application, the increased complexity of the review process may delay approval. In addition, our drug delivery device presentation for zumilokibart is provided by a single-source unaffiliated third-party. We are dependent on the sustained cooperation and effort of that third-party and any other third-party companies we may contract with in the future, both, to supply the device presentation and, in some cases, to conduct the studies required for approval or other regulatory clearance of the device presentation. Even if approval is obtained, we may also be dependent on those third-party companies continuing to maintain such approvals or clearances once they have been received. Failure of third-party companies to supply the device presentation, to successfully complete studies on the devices in a timely manner, or to obtain or maintain required approvals or clearances of the device presentation could result in increased development costs, delays in or failure to obtain regulatory approval and delays in product candidates reaching the market or in gaining approval or clearance for expanded labels for new indications.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to continue to experience significant growth in the number of our employees and the scope of our operations, particularly in the areas of clinical drug development, technical operations, clinical operations, regulatory affairs and commercial operations. To manage our anticipated future growth, we must continue to implement and improve our managerial, operational and financial personnel and systems, expand our facilities and continue to recruit and train additional qualified personnel. We are dependent on the experience of our management team, who have only worked together for a limited time in managing a public company with such</w:t>
      </w:r>
    </w:p>
    <w:p>
      <w:pPr>
        <w:sectPr>
          <w:pgSz w:w="11900" w:h="16838" w:orient="portrait"/>
          <w:cols w:equalWidth="0" w:num="1">
            <w:col w:w="11240"/>
          </w:cols>
          <w:pgMar w:left="320" w:top="117"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growth, and we may not be able to effectively manage the expansion of our operations or recruit and train additional qualified personnel.</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managerial, scientific and medical personnel, including our Chief Executive Officer, Chief Medical Officer, Chief Financial Officer and other key members of our leadership team. Although we have entered into employment agreements with our executive officers, each of them may terminate their employment with us at any time. We do not maintain “key person” insurance for any of our executives or other employees.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personnel may be difficult and may take an extended period of time. If we do not succeed in attracting and retaining qualified personnel,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for which we may rely on collaboration with third parties. Recent and ongoing changes in the United States trade policy with foreign countries, including the continued uncertainty surrounding U.S. tariffs and potential retaliatory measures by foreign governments may disrupt the global supply chain for biopharmaceutical products. If tariffs, trade restrictions, or other trade related measures are ultimately applied to materials used in our clinical development programs or commercial supply chain, our cost on development and commercialization may increase, our ability to source critical CMOs to manufacture product candidates may be limited, and our clinical development timeline may be delayed.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CMOs, suppliers and vendors may engage in misconduct or other improper activities, including noncompliance with regulatory standards and requirements.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CMOs, suppliers and vendors acting for or on our behalf may engage in misconduct or other improper activities. While we have adopted a code of conduct,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2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any of our CROs, manufacturers, other contractors or consultants, third party service providers,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receive, store, process, generate, use, transfer, disclose, make accessible, protect, secure, dispose of, transmit, and share (collectively, “process”) proprietary, confidential,</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sensitive data, including personal data, intellectual property, trade secrets, and other sensitive data (collectively, “sensitive information”).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implement a variety of security measures designed to protect systems that store our information, given their size and complexity and the increasing amounts of information maintained on our internal information technology systems and those of our third-party CROs, other contractors (including sites performing our clinical trials), third 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attacks enhanced or facilitated by AI, which may compromise our system infrastructure or lead to the loss, destruction, alteration or dissemination of, or damage to, our data.</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remote workforce may create additional risks for our information technology systems and data because a majority of our employees work remotely and utilize network connections, computers, and devices working at home, while in transit and in public locations.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stakeholders (including investors and potential customers) to stop supporting our platform, deter new customers from products, and negatively impact our ability to grow and operate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third parties who we work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 See the section titled “Business—Government Regulation—Data Privacy and Security” in our Annual Report on Form 10-K for the year ended December 31, 2025 for a more detailed description of the laws that may affect our ability to operate.</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our employees and personnel have begun to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and has the potential to result in bias, miscalculations, data errors and other unintended consequences. Furthermore, any confidential information that is disclosed to a third-party generative AI platform or vendor that uses generative AI could be leaked or disclosed to others, including sensitive information that is used to train the third parties' model, which may impact our ability to realize the benefits of our intellectual property. If we are unable to use generative AI, it could make our business less efficient and result in competitive disadvantages. Our vendors may also incorporate generative AI tools into their offerings, and the providers of these generative AI tools may not meet existing or rapidly evolving regulatory or industry standards with respect to privacy and data protection. If any of our vendors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rules governing U.S. federal, state and local income taxation are constantly under review and modification by persons involved in the legislative process and by the Internal Revenue Service and the U.S. Treasury Department. Changes to tax laws, including those with potential retroactive application, could adversely affect us or our stockholders. We regularly assess the potential impact of various tax reform proposals and modifications to existing tax treaties in jurisdictions where we have operations to understand their potential effect on our business and any assumptions we have made about our future taxable income. However, we cannot predict whether any specific proposals will be enacted, the terms of any such proposals or what effect, if any, such proposals may have on our tax positions, financial conditions or our stockholders, if they were to be enacted.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example, beginning in 2022, the Tax Cuts and Jobs Act eliminated the previously available option to immediately deduct research and development expenditures and instead requires taxpayers to amortize them generally over five years for research activities conducted in the United States and over 15 years for research activities conducted outside the United States. On July 4, 2025, the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Congress enacted the One Big Beautiful Bill Act (“OBBBA”), which includes a provision restoring the immediate deductibility of domestic research and development expenditures. Although the impact of the OBBBA has been immaterial to our business to date, we have no assurance as to whether, when and how this provision may be subject to further amendment or repeal. These and other changes in tax laws or in how they are interpreted may adversely affect our effective tax rate, results of operation and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may not realize the benefits of such acquisitions.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programs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federally-insured limits. The failure of financial institutions could adversely affect our ability to pay our operational expenses or make other payments.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cash held in non-interest-bearing and interest-bearing accounts exceeds the Federal Deposit Insurance Corporation (“FDIC”) insurance limits. If such banking institutions were to fail, we could lose all or a portion of those amounts held in excess of such insurance limitations. For example, the FDIC took control of Silicon Valley Bank on March 10,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patents and other proprietary rights is uncertain, exposing us to the possible loss of competitive advantage.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and confidentiality agreements to protect the intellectual property related to our programs and technologies and to prevent third parties from competing with us. Our success depends in large part on our ability to obtain and maintain patent protection for our technologies, programs and their uses, as well as our ability to operate without infringing on or violating the proprietary rights of others. We own and have licensed rights to an issued patent and pending patent applications and expect to continue to file patent applications in the United States and abroad related to our novel discoveries and technologies that are important to our business.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However, we may not be able to protect our intellectual property rights throughout the world and the legal systems in certain countries may not favor enforcement or protection of patents, trade secrets and other intellectual property. Filing, prosecuting and defending patents on programs worldwide would be prohibitively expensive and our intellectual property rights in some foreign jurisdictions can be less extensive than those in the United States.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intellectual property portfolio is at an early stage and we currently own one issued patent. Our pending and future patent applications may not result in additional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Further, any issued patents that we may license or own covering our programs could be narrowed or found invalid or unenforceable if challenged in court or before administrative bodies in the United States or abroad, including the United States Patent and Trademark Office (“USPTO”). Further, if we encounter delays in our clinical trials or delays in obtaining regulatory approval, the period of time during which we could market our programs under patent protection could be reduced. Thus, the patents that we own and license may not afford us any meaningful competitive advantage.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expose us to patent infringement allegations and enable competitors to duplicate or surpass our technological achievements, thus eroding our competitive position in our market. In order to protect our proprietary technology and processes, we rely in part on confidentiality agreements with our collaborators, employees, consultants, outside scientific collaborators and sponsored researchers and other advisors.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Lastly, if our trademarks and trade names are not registered or adequately protected, then we may not be able to build name recognition in our markets of interest and our business may be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programs through acquisitions and in-licenses.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our development programs currently do and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which could have a material adverse effect on our business, financial condition, results of operations, and prospects.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our programs, there may be times when the filing and prosecution activities for patents and patent applications relating to our programs are controlled by our future licensors or collaboration partners. If any of our future licensors or collaboration partners fail to prosecute, maintain and enforce such patents and patent applications in a manner consistent with the best interests of our business, including by payment of all applicable fees for patents covering our programs, we could lose our rights to the intellectual property or our exclusivity with respect to those rights, our ability to develop and commercialize those programs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future licensors may rely on third-party consultants or collaborators or on funds from third parties such that our future licensors are not the sole and exclusive owners of the patents we in-license. If other third parties have ownership rights to our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programs, which could harm our business, financial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condition, results of operations, and prospects significantly. We cannot provide any assurances that third-party patents do not exist which might be enforced against our current technology, manufacturing methods, programs,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Disputes may arise between us and our future licensors regarding intellectual property subject to a license agreement, including: the scope of rights granted under the license agreement and other 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patent infringement claims or may need to file claims to protect our intellectual property, which could result in substantial costs and liability and prevent us from commercializing our potential products.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the intellectual property landscape in the biotechnology industry is rapidly evolving and interdisciplinary, it is difficult to conclusively assess our freedom to operate and guarantee that we can operate without infringing on or violating third party rights. If certain of our programs advance to commercialization, patent rights held by third parties, if found to be valid and enforceable, could be alleged to render one or more of our programs infringing. If a third party successfully brings a claim against us, we may be required to pay substantial damages, be forced to abandon any affected program and/or seek a license from the patent holder. In addition, any intellectual property claims (e.g. patent infringement or trade secret theft) brought against us, whether or not successful, may cause us to incur significant legal expenses and divert the attention of our management and key personnel from other business concerns. We cannot be certain that patents owned or licensed by us will not be challenged by others in the course of litigation.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 and on the market price of our common stock.</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if our programs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industry, in addition to our employees, we engage the services of consultants to assist us in the development of our programs.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patent laws in the United States, including patent reform legislation such as the Leahy-Smith America Invents Act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in 2023, the United States Supreme Court in Amgen, Inc. v. Sanofi held that Amgen’s patent claims to a class of antibodies functionally defined by their ability to bind a particular antigen were invalid for lack of enablement where the patent specification provided twenty-six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Amgen or other recent precedential court decisions. Additionally, there have been proposals for additional changes to the patent laws of the United States and other countries that, if adopted, could impact our ability to enforce our proprietary technology. Depending on future actions by the Congress, the United States courts, the USPTO and the relevant law-making bodies in other countries, the laws and regulations governing patents could change in ways that could have a material adverse effect on our patent rights and weaken our ability to protect, defend and enforce our patent rights in the future.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a European Unified Patent Court (“UPC”) entered into force on June 1, 2023. The UPC is a common patent court to hear patent infringement and revocation proceedings effective for member states of the EU. This enables third parties to seek revocation of a European patent in a single proceeding at the UPC rather than through multiple proceedings in each of the jurisdictions in which the European patent is validated. Although we do not currently own any European patents, if we obtain such patents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programs, our competitive position would be adversely affected.</w:t>
      </w:r>
    </w:p>
    <w:p>
      <w:pPr>
        <w:spacing w:after="0" w:line="2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programs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or will be maintained in a validity proceeding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programs for an adequate amount of time.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programs are obtained, once the patent life has expired, we may be open to competition from competitive products, including biosimilars. Given the amount of time required for the development, testing and regulatory review of new programs, patents protecting such programs might expire before or shortly after such programs are commercialized. As a result, our owned and licensed patent portfolio may not provide us with sufficient rights to exclude others from commercializing products similar or identical to ours.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licensed from various third parties may be subject to retained rights.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programs involved. 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products, if approved, we must demonstrate through lengthy, complex and expensive preclinical studies and clinical trials that our product candidates are both safe and effective for each targeted indication. Securing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 The FDA and comparable foreign regulatory authorities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product candidate is safe and effective for its proposed indication; the results of clinical trials may not meet the level of statistical significance required by the FDA or comparable foreign regulatory authorities for approval; serious and unexpected drug-related side effects may be experienced by participants in our clinical trials or by individuals using drugs similar to our product candidates; we may be unable to demonstrate that a product candidate’s clinical and other benefits outweigh its safety risks; the FDA or comparable foreign regulatory authorities may disagree with our interpretation of data from preclinical studies or clinical trials; the data collected from clinical trials of our product candidates may not be acceptable or sufficient to support the submission of an NDA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our product candidates;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 In addition, the FDA and comparable foreign regulatory authorities may undergo leadership changes, change their policies, issue additional regulations or revise existing regulations, or take other actions, such as those implemented by the Department of Government Efficiency, which may impact our clinical development plans or prevent or delay approval of our product candidates under development on a timely basis. Such policy or regulatory changes could impose additional requirements upon us that could delay our ability to obtain approvals and increase the costs of compliance.</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could negatively affect the review and approval of our regulatory submissions, which could negatively impact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regulatory submissions can be affected by a variety of factors, including statutory, regulatory and policy changes, inadequate government budget funding levels or a reduction in the FDA’s workforce and its ability to hire and retain key personnel, disruptions caused by government shutdowns and public health crises. There have been mass layoffs of federal employees since the start of the current presidential administration in January 2025, the full impact of which is unclear at this time. In addition, over the last several years, the U.S. federal government has shut down several times, including as recently as October 2025, and certain regulatory agencies, such as the FDA, have furloughed critical government employees and stopped critical activities. Such disruptions could significantly impact the ability of the FDA or other regulatory authorities to timely review and process our regulatory submissions, which could have a material adverse effect on our business. In addition, the presidential administration has made and is expected to continue to make changes in the leadership of various U.S. federal regulatory agencies and changes to U.S. federal government policy that have led to, in some cases, legal challenges and uncertainty around the funding, functioning and policy priorities of the U.S. federal regulatory agencies, including the FDA. Such changes could result in the imposition of additional requirements upon our business, including in connection with our planned and ongoing clinical trials, that could delay our submissions to the FDA and ability to obtain approvals and increase the costs of compliance.</w:t>
      </w:r>
    </w:p>
    <w:p>
      <w:pPr>
        <w:spacing w:after="0" w:line="1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unable to predict the extent to which the current or future presidential administration may impose or seek to impose leadership or policy changes at the FDA or changes to rules and policies impacting the review and approvability of our submissions and our business and operations. It is unclear how executive actions or other potential actions by the federal government will impact the FDA or other regulatory authorities that oversee our business. Government proposals to reduce or eliminate budgetary deficits may</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 reduced allocations to the FDA and other related government agencies. These budgetary pressures may reduce the FDA’s ability to perform its responsibilities, which could result in delays in our clinical trial timelines. If a significant reduction in the FDA’s workforce occurs, the FDA’s budget is significantly reduced or a prolonged government shutdown occurs, it could significantly impact the ability of the FDA to timely review and process our regulatory submissions or take other actions critical to the development or manufacturing of our current product candidates or future product candidates, which could have a material adverse effect on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meet requirements for the chemistry, manufacturing and control of our product candidates.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order to receive approval of our products by the FDA and comparable foreign regulatory authorities, we must show that we and our contract manufacturing partners are able to characterize, control and manufacture our drug products safely and in accordance with regulatory requirements. This includes manufacturing the active ingredient or drug substance, developing an acceptable formulation, performing tests to adequately characterize the product, documenting a repeatable manufacturing process, meeting facility, process and testing validation requirements, and demonstrating that our drug products and delivery devices meet standards for parenteral administration as well as stability requirements. Meeting these chemistry, manufacturing and control requirements is a complex task that requires specialized expertise. If we are not able to meet the chemistry, manufacturing and control requirements, we may not be successful in getting our products approved.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programs for which we intend to seek approval as biologics may face competition sooner than anticipated.</w:t>
      </w:r>
    </w:p>
    <w:p>
      <w:pPr>
        <w:spacing w:after="0" w:line="121"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The Patient Protection and Affordable Care Act, as amended by the Healthcare and Education Reconciliation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58" w:lineRule="exact"/>
        <w:rPr>
          <w:sz w:val="20"/>
          <w:szCs w:val="20"/>
          <w:color w:val="auto"/>
        </w:rPr>
      </w:pPr>
    </w:p>
    <w:p>
      <w:pPr>
        <w:jc w:val="both"/>
        <w:ind w:firstLine="509"/>
        <w:spacing w:after="0" w:line="226" w:lineRule="exact"/>
        <w:rPr>
          <w:sz w:val="20"/>
          <w:szCs w:val="20"/>
          <w:color w:val="auto"/>
        </w:rPr>
      </w:pPr>
      <w:r>
        <w:rPr>
          <w:rFonts w:ascii="Times New Roman" w:cs="Times New Roman" w:eastAsia="Times New Roman" w:hAnsi="Times New Roman"/>
          <w:sz w:val="18"/>
          <w:szCs w:val="18"/>
          <w:color w:val="auto"/>
        </w:rPr>
        <w:t>We believe that any of our programs approved as biologics under a BLA should qualify for the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of exclusivity. However, there is a risk that this exclusivity could be shortened or changed due to congressional action or otherwise, or that the FDA will not consider our programs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w:t>
      </w:r>
    </w:p>
    <w:p>
      <w:pPr>
        <w:spacing w:after="0" w:line="3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patient subpopulations,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cGMPs and GCPs for any clinical trials that we conduct following approval. In addition, manufacturers of drug products and their facilities are subject to continual review and periodic, unannounced inspections by the FDA and other regulatory authorities for compliance with cGMPs.</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w:t>
      </w:r>
    </w:p>
    <w:p>
      <w:pPr>
        <w:sectPr>
          <w:pgSz w:w="11900" w:h="16838" w:orient="portrait"/>
          <w:cols w:equalWidth="0" w:num="1">
            <w:col w:w="11240"/>
          </w:cols>
          <w:pgMar w:left="320" w:top="11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healthcare legislative reform measures.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See the section titled “Business—Government Regulation—Healthcare Reform” in our Annual Report on Form 10-K for the year ended December 31, 2025 for a more detailed description of healthcare reforms measures that may prevent us from being able to generate revenue, attain profitability, or commercialize our product candidates.</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products, if approved. See the section titled “Business—Government Regulation—Other Healthcare Laws and Compliance Requirements” in our Annual Report on Form 10-K for the year ended December 31, 2025 for a more detailed description of the laws that may affect our ability to operate.</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us,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due to potential unfavorable pricing regulations and/or third-party coverage/access and reimbursement policies, we may not be able to realize access to products or appropriate pricing, which would seriously harm our business.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Our ability to successfully commercialize any product candidates that we may develop will depend in part on the extent to which reimbursement and distribution for these product candidates and related treatments will be available from government health administration authorities, private health insurers and other organizations. Government authorities and other third-party payors, such as private health insurers, health maintenance organizations, group purchasing organizations and pharmacy benefit managers, decide which medications they will cover and reimburse, including the establishment of reimbursement levels for those medications.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product candidates, we may become subject to significant liability, which would materially adversely affect our business and financial condition. See the sections titled “Business—Government Regulation—Coverage and Reimbursement” and “Business—Other Government Regulation Outside of the United States—Regulation in the European Union” in our Annual Report on Form 10-K for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year ended December 31, 2025 for a more detailed description of the government regulations and third-party payor practices that may affect our ability to commercialize our product candidates.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and/or our ability to gain access to our products, if any.</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some countries, particularly member states of the EU,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Brexit could lead to legal uncertainty and potentially divergent national laws and regulations, including those related to the pricing of prescription pharmaceuticals, as the UK determines which EU laws to replicate or replace. If the UK were to significantly alter its regulations affecting the pricing of prescription pharmaceuticals, we could face significant new costs.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approved an expedited pathway for one of our product candidates, it may not lead to a faster development or regulatory review or approval process.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 drug is intended for the treatment of a serious or life-threatening condition and the drug demonstrates the potential to address unmet medical needs for this condition, the product sponsor may apply for an expedited designation. The FDA has broad discretion whether or not to grant an expedited designation, and even if we receive an expedited designation, we may not experience a faster development process, review or approval compared to conventional FDA procedures. The FDA may withdraw the expedited designation if it believes that the designation is no longer supported by data from our clinical development program. Additionally, changes in the leadership of the FDA and other actions taken by the presidential administration, including mass layoffs within the federal government, may impose constraints on the FDA’s ability to engage in activities in the normal course and may result in reductions to the FDA’s budget, employees and operations, which may lead to slower response times and longer review periods, potentially affecting our ability to take advantage of the benefits for an expedited designation and progress development of our programs or obtain regulatory approval for our programs. See the section titled “Business—Government Regulation—Expedited Development and Review Programs” in our Annual Report on Form 10-K for the year ended December 31, 2025 for a more detailed description of the process for seeking Fast Track Designation.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 the factors discussed in this “Risk Factors” section and elsewhere in this Quarterly Report.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has fluctuated in the past and may continue to be volatile, and you could lose all or part of your investment.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fluctuated in the past, and is likely to continue to fluctuate substantially in response to various factors, some of which are beyond our control, including the factors discussed in this “Risk Factors” section and elsewhere in this Quarterly Report. The realization of any of these factors could have a dramatic and adverse impact on the market price of our common stock.</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and biopharmaceutical companies in particular, have historically been particularly volatile and experienced extreme price and volume fluctuations that have often been unrelated or disproportionate to the operating performance of these companies. Broad market and industry factors, including developments related to the products and product candidates of our competitors, may negatively affect the market price of our common stock, regardless of our actual operating performance or clinical trial results. For example, our stock price experienced volatility around the release of positive 16-week data from APEX Part A of our Phase 2 trial of zumilokibart for AD. In addition, escalating trade tensions, uncertainty around interest rates and regulatory uncertainty have caused significant market volatility in recent months, and particularly in the biotechnology and biopharmaceutical industries. If the market price of our common stock does not exceed the price at which you purchase your shares, you may not realize any return on your investment in us and may lose some or all of your investment. Securities class action litigation is often initiated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holders of 5% or more of our capital stock and their respective affiliates beneficially own a significant percentage of our outstanding voting common stock and all of our outstanding non-voting common stock. These stockholders, acting together, may be able to impact matters requiring stockholder approval. For example, they may be able to entrench management or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market price of our common stock to drop significantly, even if our business is doing well.</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Sales of a substantial number of shares of our common stock in the public market, including shares sold by holders of 5% or more of our capital stock and their respective affiliates or shares issued through our at-the-market facility or upon exercise of outstanding options or other equity awards, has in the past and could in the future reduce the market price of our common stock. 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certain holders of our shares of our common stock have rights, subject to specified conditions, to require us to file registration statements covering their shares or to include their shares in registration statements that we may file for ourselves or other</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We have filed a registration statement under the Securities Act of 1933, as amended (the “Securities Act”) to register the shares of our common stock reserved for issuance under our equity compensation plans. These shares can be freely sold in the public market upon issuance, subject to volume limitations applicable to affiliates.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that our stockholders might consider favorable. At any time while at least 6,061,821 shares of non-voting common stock remain issued and outstanding, we may not consummate a Fundamental Transaction (as defined in our amended and restated certificate of incorporation) or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without the affirmative vote of the holders of a majority of the then outstanding shares of non-voting common stock. All of the outstanding shares of non-voting common stock are held by entities affiliated with two stockholders. This provision of our amended and restated certificate of incorporation may make it more difficult for us to enter into any of the aforementioned transactions.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prohibits a publicly-held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See the section titled “Anti-Takeover Effects of Our Amended and Restated Certificate of Incorporation, Amended and Restated Bylaws and Delaware Law” in our Description of Securities filed as Exhibit 4.4 to our Annual Report on Form 10-K for the year ended December 31, 2025.</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(or, if the Court of Chancery does not have jurisdiction, another State court in Delaware or the federal district court for the District of Delaware) is the exclusive forum for certain actions, in all cases subject to the court’s having jurisdiction over indispensable parties named as defendants. In addition, our amended and restated certificate of incorporation provides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 These exclusive forum provisions may impose additional costs on stockholders in pursuing any such claims or limit a stockholder’s ability to bring a claim in a judicial forum that it finds favorable for disputes, which may discourage lawsuits. There is uncertainty as to whether a court would enforce such provisions.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 See the section titled “Anti-Takeover Effects of Our Amended and Restated Certificate of Incorporation, Amended and Restated Bylaws and Delaware Law” in our Description of Securities filed as Exhibit 4.4 to our Annual Report on Form 10-K for the year ended December 31, 2025.</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dividends on our capital stock in the foreseeable future, capital appreciation, if any, will be your sole source of gain.</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dividends on our capital stock. We currently intend to retain all of our future earnings, if any, to finance the growth and development, operation and expansion of our business and do not anticipate declaring or paying any dividends for the foreseeable future. As a result, capital appreciation, if any, of our common stock will be your sole source of gain for the foreseeable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Additionally, stockholders who hold, in the aggregate, more than 10% of our common stock and non-voting common stock, but 10% or less of our common stock, and are not otherwise an insider, may not be required to report changes in their ownership due to transactions in our non-voting common stock pursuant to Section 16(a) of the Exchange Act, and may not be subject to the short-swing profit provisions of Section 16(b) of the Exchange Act.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programs in the clinic or at the commercial stage, and our product liability insurance may not cover all damages from such claims.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use of our product candidates in clinical trials, and the sale of any approved products in the future, may expose us to liability claims. These claims may be made by patients that use the product, HCPs, pharmaceutical companies, or others selling such products. Any claims against us, regardless of their merit, could be difficult and costly to defend and could materially and adversely affect the market for our products or any prospects for commercialization of our products. Although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costs and the outcome of litigation could have a material adverse effect on our business.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securities litigation, employment matters, security of patient and employee personal information, contractual relations with collaborators and licensors and intellectual property rights. Litigation to defend ourselves against claims by third parties, or to enforce any rights that we may have against third parties, could result in substantial costs and diversion of our resources, and we may not have adequate insurance coverage in the event these risks materialize, which may cause a material adverse effect on our business, financial condition, results of operations or cash flows.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or our business, our stock price and trading volume could decline.</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no or few securities or industry analysts continue coverage of us or if one or more of these analysts cease</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coverage of us or fail to publish reports on us regularly, our stock price could be negatively impacted. If any of the analysts who cover us issue adverse or misleading research or reports regarding us, our business model, our intellectual property, our stock performance or our market, or if our clinical trials or operating results fail to meet the expectations of analysts, our stock price would likely decline. If one or more of these analysts cease to cover our stock, we could lose visibility in the market for our stock, which in turn could cause our stock price and trading volume to decline.</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continue to be required to devote substantial time to new compliance initiatives and corporate governance practices.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In addition, changing laws, regulations, and standards relating to corporate governance and public disclosure, including those related to climate change and other environmental, social and governance focused disclosures, are creating uncertainty for public companies, increasing legal and financial compliance costs, and making some activities more time consuming. Our management and other personnel will continue to devote a substantial amount of time to these compliance initiatives, and we will continue to incur increased legal and financial compliance costs. For example, maintaining customary public company director and officer liability insurance requires substantial expenditures. The impact of these legal and financial requirements could make it more difficult for us to attract and retain qualified persons to serve on our Board, our Board committees or as executive officers. The increased costs may require us to reduce costs in other areas of our business or increase the prices of our product candidates,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3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is required to report upon the effectiveness of our internal control over financial reporting. We are also required to have an audit of the effectiveness of our internal control over financial reporting. The rules governing the standards that must be met for management to assess our internal control over financial reporting are complex and require significant documentation, testing, and possible remediation. To achieve compliance with Section 404 within the prescribed period, we are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inflation, increases in interest rates, natural disasters, public health crises, political crises, geopolitical events, such as the conflict between Russia and Ukraine, and Israel and Hamas or other macroeconomic conditions, which could have a material and adverse effect on our results of operations and financial condition.</w:t>
      </w:r>
    </w:p>
    <w:p>
      <w:pPr>
        <w:spacing w:after="0" w:line="67"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and uncertainty about economic stability. Adverse macroeconomic conditions, including inflation, slower growth or recession, new or increased tariffs and other barriers to trade, especially in light of recent comments and executive orders made by the current presidential administration, changes to fiscal and monetary policy or government budget dynamics (particularly in the pharmaceutical and biotech areas), government shutdowns, tighter credit, higher interest rates, volatility in financial markets, high unemployment, labor availability constraints, currency fluctuations and other challenges in the global economy have in the past adversely affected, and may in the future adversely affect, us and our business partners and suppliers. Since February 2025, the United States government has imposed various tariffs on imports from most countries, including tariffs on imports from China and South Korea. In September 2025, President Trump announced plans to impose 100% tariffs on imported branded or patented pharmaceuticals, unless the importing company is building U.S. manufacturing capacity. Further, in early April 2026, President Trump issued a proclamation under Section 232 of the Trade Expansion Act of 1962 determining that imports of certain pharmaceutical products, including patented pharmaceuticals, associated active pharmaceutical ingredients and related materials could threaten U.S. national security and authorized the imposition of tariffs of up to 100% on covered imports. Imports of certain listed products from specific partner countries, including South Korea and the European Union, may be subject to reduced tariff rates. It is not yet clear whether these tariffs would apply to the importation of active pharmaceutical ingredients and possibly bulk drug products that are intended for use in clinical trials and not for commercial sale, which could increase the costs of materials for our clinical trials. There still remains substantial uncertainty about the duration of existing tariffs and whether additional tariffs may be imposed, modified or suspended. Historically, tariffs have led to increased trade and political tensions and foreign countries’ retaliatory tariffs on U.S. goods. Political tensions as a result of trade policies could reduce trade volume, investment, technological exchange and other economic activities between major international economies, which could materially adversely affect global economic conditions and the stability of global financial markets. In addition, the Federal Reserve raised interest rates multiple times in response to concerns about inflation and, although it has lowered interest rates, there is no guarantee that it will not raise them again. Higher interest rates, coupled with reduced government spending and volatility in financial markets, may increase economic uncertainty and affect consumer spending. Similarly, geopolitical uncertainties and international conflicts, including the ongoing military conflicts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w:t>
      </w:r>
    </w:p>
    <w:p>
      <w:pPr>
        <w:spacing w:after="0" w:line="20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IPO of Common Stock</w:t>
      </w:r>
    </w:p>
    <w:p>
      <w:pPr>
        <w:spacing w:after="0" w:line="121"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In July 2023, we completed our IPO pursuant to which we issued and sold an aggregate of 20,297,500 shares of our common stock, including the full exercise of the underwriters’ option to purchase up 2,647,500 additional shares, at the IPO price of $17.00 per share. The offer and sale of all of the shares of our common stock in the IPO were registered under the Securities Act pursuant to our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as amended (File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272831 and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273236), which were declared effective on July 13, 2023. Jefferies, TD Cowen, Stifel and Guggenheim Securities acted as joint book-running managers for the IPO. Wedbush PacGrow acted as lead manager for the IPO. We received gross proceeds from our IPO of approximately $345.1 million, and net proceeds of approximately $315.4 million, after deducting underwriting discounts and commissions and other offering expenses. None of the underwriting discounts and commissions or other offering expenses were incurred or paid, directly or indirectly, to any of our directors or officers or their associates or to persons owning 10% or more of our common stock or to any of our affiliates.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net proceeds from the IPO have been used and are expected to be used primarily to fund our clinical trials, including our Phase 2 trial, and manufacturing of our zumilokibart (APG777) product candidate, fund our preclinical studies, clinical trials and manufacturing of our APG808 program, fund our preclinical studies, clinical trials and manufacturing of our APG990 program and fund our preclinical studies of our other programs. We intend to use the remainder for our additional research and development activities, as well as for capital expenditures, working capital and general corporate purposes. There has been no material change in our intended use of proceeds from our IPO as described in the final prospectus for our IPO filed with the SEC pursuant to Rule 424(b) under the Securities Act on July 17,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31, 2026, no director or Section 16 officer adopted or terminated any Rule 10b5-1 trading arrangement or non-Rule 10b5-1 trading arrangement (in each case, as defined in Item 408(a)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are set forth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gridSpan w:val="7"/>
          </w:tcPr>
          <w:p>
            <w:pPr>
              <w:ind w:left="10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220" w:type="dxa"/>
            <w:vAlign w:val="bottom"/>
          </w:tcPr>
          <w:p>
            <w:pPr>
              <w:spacing w:after="0"/>
              <w:rPr>
                <w:sz w:val="24"/>
                <w:szCs w:val="24"/>
                <w:color w:val="auto"/>
              </w:rPr>
            </w:pPr>
          </w:p>
        </w:tc>
        <w:tc>
          <w:tcPr>
            <w:tcW w:w="98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Contribution and Exchange Agreement, effective July 13, 2023, by and among the Company and the Unit Holders named therein (filed</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1"/>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with the SEC as Exhibit 2.1 to the Company’s Form 10-Q filed on August 28, 2023)</w:t>
              </w:r>
              <w:r>
                <w:rPr>
                  <w:rFonts w:ascii="Times New Roman" w:cs="Times New Roman" w:eastAsia="Times New Roman" w:hAnsi="Times New Roman"/>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24"/>
                <w:szCs w:val="24"/>
                <w:color w:val="auto"/>
              </w:rPr>
            </w:pPr>
          </w:p>
        </w:tc>
        <w:tc>
          <w:tcPr>
            <w:tcW w:w="98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Amended and Restated Certificate of Incorporation of the Registrant (filed with the SEC as Exhibit 3.1 to the Company’s Form 10-Q</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1"/>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filed on August 28, 2023</w:t>
              </w:r>
              <w:r>
                <w:rPr>
                  <w:rFonts w:ascii="Times New Roman" w:cs="Times New Roman" w:eastAsia="Times New Roman" w:hAnsi="Times New Roman"/>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24"/>
                <w:szCs w:val="24"/>
                <w:color w:val="auto"/>
              </w:rPr>
            </w:pPr>
          </w:p>
        </w:tc>
        <w:tc>
          <w:tcPr>
            <w:tcW w:w="98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Amended and Restated Bylaws of the Registrant (filed with the SEC as Exhibit 3.2 to the Company’s Form 10-Q filed on August 28,</w:t>
              </w:r>
            </w:hyperlink>
          </w:p>
        </w:tc>
      </w:tr>
      <w:tr>
        <w:trPr>
          <w:trHeight w:val="196"/>
        </w:trPr>
        <w:tc>
          <w:tcPr>
            <w:tcW w:w="1140" w:type="dxa"/>
            <w:vAlign w:val="bottom"/>
          </w:tcPr>
          <w:p>
            <w:pPr>
              <w:spacing w:after="0"/>
              <w:rPr>
                <w:sz w:val="17"/>
                <w:szCs w:val="17"/>
                <w:color w:val="auto"/>
              </w:rPr>
            </w:pPr>
          </w:p>
        </w:tc>
        <w:tc>
          <w:tcPr>
            <w:tcW w:w="700" w:type="dxa"/>
            <w:vAlign w:val="bottom"/>
            <w:gridSpan w:val="3"/>
          </w:tcPr>
          <w:p>
            <w:pPr>
              <w:ind w:left="220"/>
              <w:spacing w:after="0" w:line="196" w:lineRule="exact"/>
              <w:rPr>
                <w:rFonts w:ascii="Times New Roman" w:cs="Times New Roman" w:eastAsia="Times New Roman" w:hAnsi="Times New Roman"/>
                <w:sz w:val="18"/>
                <w:szCs w:val="18"/>
                <w:color w:val="0000FF"/>
                <w:w w:val="94"/>
              </w:rPr>
            </w:pPr>
            <w:hyperlink r:id="rId258">
              <w:r>
                <w:rPr>
                  <w:rFonts w:ascii="Times New Roman" w:cs="Times New Roman" w:eastAsia="Times New Roman" w:hAnsi="Times New Roman"/>
                  <w:sz w:val="18"/>
                  <w:szCs w:val="18"/>
                  <w:color w:val="0000FF"/>
                  <w:w w:val="94"/>
                </w:rPr>
                <w:t>2023)</w:t>
              </w:r>
              <w:r>
                <w:rPr>
                  <w:rFonts w:ascii="Times New Roman" w:cs="Times New Roman" w:eastAsia="Times New Roman" w:hAnsi="Times New Roman"/>
                  <w:sz w:val="18"/>
                  <w:szCs w:val="18"/>
                  <w:color w:val="000000"/>
                  <w:w w:val="94"/>
                </w:rPr>
                <w:t>.</w:t>
              </w:r>
            </w:hyperlink>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Form of Common Stock Certificate of the Registrant (filed with the SEC as Exhibit 4.1 to the Company’s Form S-1/A filed on July 3,</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00" w:type="dxa"/>
            <w:vAlign w:val="bottom"/>
            <w:gridSpan w:val="3"/>
          </w:tcPr>
          <w:p>
            <w:pPr>
              <w:ind w:left="220"/>
              <w:spacing w:after="0" w:line="196" w:lineRule="exact"/>
              <w:rPr>
                <w:rFonts w:ascii="Times New Roman" w:cs="Times New Roman" w:eastAsia="Times New Roman" w:hAnsi="Times New Roman"/>
                <w:sz w:val="18"/>
                <w:szCs w:val="18"/>
                <w:color w:val="0000FF"/>
                <w:w w:val="94"/>
              </w:rPr>
            </w:pPr>
            <w:hyperlink r:id="rId259">
              <w:r>
                <w:rPr>
                  <w:rFonts w:ascii="Times New Roman" w:cs="Times New Roman" w:eastAsia="Times New Roman" w:hAnsi="Times New Roman"/>
                  <w:sz w:val="18"/>
                  <w:szCs w:val="18"/>
                  <w:color w:val="0000FF"/>
                  <w:w w:val="94"/>
                </w:rPr>
                <w:t>2023)</w:t>
              </w:r>
              <w:r>
                <w:rPr>
                  <w:rFonts w:ascii="Times New Roman" w:cs="Times New Roman" w:eastAsia="Times New Roman" w:hAnsi="Times New Roman"/>
                  <w:sz w:val="18"/>
                  <w:szCs w:val="18"/>
                  <w:color w:val="000000"/>
                  <w:w w:val="94"/>
                </w:rPr>
                <w:t>.</w:t>
              </w:r>
            </w:hyperlink>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tcPr>
          <w:p>
            <w:pPr>
              <w:spacing w:after="0"/>
              <w:rPr>
                <w:sz w:val="24"/>
                <w:szCs w:val="24"/>
                <w:color w:val="auto"/>
              </w:rPr>
            </w:pPr>
          </w:p>
        </w:tc>
        <w:tc>
          <w:tcPr>
            <w:tcW w:w="98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Registration Rights Agreement, dated July 13, 2023, by and among the Company and the Investors named therein (filed with the SEC as</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Exhibit 4.2 to the Company’s Form 10-Q filed on August 28, 2023).</w:t>
              </w:r>
            </w:hyperlink>
          </w:p>
        </w:tc>
        <w:tc>
          <w:tcPr>
            <w:tcW w:w="20" w:type="dxa"/>
            <w:vAlign w:val="bottom"/>
            <w:tcBorders>
              <w:bottom w:val="single" w:sz="8" w:color="0000EE"/>
            </w:tcBorders>
          </w:tcPr>
          <w:p>
            <w:pPr>
              <w:spacing w:after="0"/>
              <w:rPr>
                <w:sz w:val="17"/>
                <w:szCs w:val="17"/>
                <w:color w:val="auto"/>
              </w:rPr>
            </w:pPr>
          </w:p>
        </w:tc>
        <w:tc>
          <w:tcPr>
            <w:tcW w:w="4940" w:type="dxa"/>
            <w:vAlign w:val="bottom"/>
            <w:gridSpan w:val="5"/>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220" w:type="dxa"/>
            <w:vAlign w:val="bottom"/>
          </w:tcPr>
          <w:p>
            <w:pPr>
              <w:spacing w:after="0"/>
              <w:rPr>
                <w:sz w:val="24"/>
                <w:szCs w:val="24"/>
                <w:color w:val="auto"/>
              </w:rPr>
            </w:pPr>
          </w:p>
        </w:tc>
        <w:tc>
          <w:tcPr>
            <w:tcW w:w="98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Form of Pre-Funded Warrant (filed with the SEC as Exhibit 4.1 to the Company’s Current Report on Form 8-K filed on October 10,</w:t>
              </w:r>
            </w:hyperlink>
          </w:p>
        </w:tc>
      </w:tr>
      <w:tr>
        <w:trPr>
          <w:trHeight w:val="196"/>
        </w:trPr>
        <w:tc>
          <w:tcPr>
            <w:tcW w:w="1140" w:type="dxa"/>
            <w:vAlign w:val="bottom"/>
          </w:tcPr>
          <w:p>
            <w:pPr>
              <w:spacing w:after="0"/>
              <w:rPr>
                <w:sz w:val="17"/>
                <w:szCs w:val="17"/>
                <w:color w:val="auto"/>
              </w:rPr>
            </w:pPr>
          </w:p>
        </w:tc>
        <w:tc>
          <w:tcPr>
            <w:tcW w:w="700" w:type="dxa"/>
            <w:vAlign w:val="bottom"/>
            <w:gridSpan w:val="3"/>
          </w:tcPr>
          <w:p>
            <w:pPr>
              <w:ind w:left="220"/>
              <w:spacing w:after="0" w:line="196" w:lineRule="exact"/>
              <w:rPr>
                <w:rFonts w:ascii="Times New Roman" w:cs="Times New Roman" w:eastAsia="Times New Roman" w:hAnsi="Times New Roman"/>
                <w:sz w:val="18"/>
                <w:szCs w:val="18"/>
                <w:color w:val="0000FF"/>
                <w:w w:val="94"/>
              </w:rPr>
            </w:pPr>
            <w:hyperlink r:id="rId261">
              <w:r>
                <w:rPr>
                  <w:rFonts w:ascii="Times New Roman" w:cs="Times New Roman" w:eastAsia="Times New Roman" w:hAnsi="Times New Roman"/>
                  <w:sz w:val="18"/>
                  <w:szCs w:val="18"/>
                  <w:color w:val="0000FF"/>
                  <w:w w:val="94"/>
                </w:rPr>
                <w:t>2025).</w:t>
              </w:r>
            </w:hyperlink>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220" w:type="dxa"/>
            <w:vAlign w:val="bottom"/>
          </w:tcPr>
          <w:p>
            <w:pPr>
              <w:spacing w:after="0"/>
              <w:rPr>
                <w:sz w:val="24"/>
                <w:szCs w:val="24"/>
                <w:color w:val="auto"/>
              </w:rPr>
            </w:pPr>
          </w:p>
        </w:tc>
        <w:tc>
          <w:tcPr>
            <w:tcW w:w="9880" w:type="dxa"/>
            <w:vAlign w:val="bottom"/>
            <w:gridSpan w:val="11"/>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Rules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 1934</w:t>
            </w: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20" w:type="dxa"/>
            <w:vAlign w:val="bottom"/>
          </w:tcPr>
          <w:p>
            <w:pPr>
              <w:spacing w:after="0"/>
              <w:rPr>
                <w:sz w:val="24"/>
                <w:szCs w:val="24"/>
                <w:color w:val="auto"/>
              </w:rPr>
            </w:pPr>
          </w:p>
        </w:tc>
        <w:tc>
          <w:tcPr>
            <w:tcW w:w="9560" w:type="dxa"/>
            <w:vAlign w:val="bottom"/>
            <w:tcBorders>
              <w:top w:val="single" w:sz="8" w:color="0000FF"/>
            </w:tcBorders>
            <w:gridSpan w:val="9"/>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Rules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 1934</w:t>
            </w:r>
          </w:p>
        </w:tc>
        <w:tc>
          <w:tcPr>
            <w:tcW w:w="320" w:type="dxa"/>
            <w:vAlign w:val="bottom"/>
            <w:gridSpan w:val="2"/>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6440" w:type="dxa"/>
            <w:vAlign w:val="bottom"/>
            <w:tcBorders>
              <w:right w:val="single" w:sz="8" w:color="0000EE"/>
            </w:tcBorders>
            <w:gridSpan w:val="4"/>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32.1*(1)</w:t>
            </w:r>
          </w:p>
        </w:tc>
        <w:tc>
          <w:tcPr>
            <w:tcW w:w="220" w:type="dxa"/>
            <w:vAlign w:val="bottom"/>
          </w:tcPr>
          <w:p>
            <w:pPr>
              <w:spacing w:after="0"/>
              <w:rPr>
                <w:sz w:val="24"/>
                <w:szCs w:val="24"/>
                <w:color w:val="auto"/>
              </w:rPr>
            </w:pPr>
          </w:p>
        </w:tc>
        <w:tc>
          <w:tcPr>
            <w:tcW w:w="9880" w:type="dxa"/>
            <w:vAlign w:val="bottom"/>
            <w:gridSpan w:val="11"/>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the principal executive officer and principal financial officer pursuant to 18 U.S.C. Section 1350 and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14(b)</w:t>
            </w: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w:t>
            </w:r>
          </w:p>
        </w:tc>
        <w:tc>
          <w:tcPr>
            <w:tcW w:w="20" w:type="dxa"/>
            <w:vAlign w:val="bottom"/>
          </w:tcPr>
          <w:p>
            <w:pPr>
              <w:spacing w:after="0"/>
              <w:rPr>
                <w:sz w:val="17"/>
                <w:szCs w:val="17"/>
                <w:color w:val="auto"/>
              </w:rPr>
            </w:pPr>
          </w:p>
        </w:tc>
      </w:tr>
      <w:tr>
        <w:trPr>
          <w:trHeight w:val="45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30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800" w:type="dxa"/>
            <w:vAlign w:val="bottom"/>
            <w:gridSpan w:val="7"/>
          </w:tcPr>
          <w:p>
            <w:pPr>
              <w:spacing w:after="0"/>
              <w:rPr>
                <w:sz w:val="24"/>
                <w:szCs w:val="24"/>
                <w:color w:val="auto"/>
              </w:rPr>
            </w:pP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22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40" w:hanging="132"/>
        <w:spacing w:after="0"/>
        <w:tabs>
          <w:tab w:leader="none" w:pos="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to be deemed “filed” for purposes of Section 18 of the Securities Exchange Act of 1934, as amended (the Exchange Act) or otherwise subject to the liability of such section, and not to be deemed incorporated by reference into any filing under the Securities Act of 1933, as amended, or the Exchange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Apogee Therapeutics,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6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Henderson, M.D.</w:t>
            </w:r>
          </w:p>
        </w:tc>
      </w:tr>
      <w:tr>
        <w:trPr>
          <w:trHeight w:val="189"/>
        </w:trPr>
        <w:tc>
          <w:tcPr>
            <w:tcW w:w="3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Michael Henderson, M.D.</w:t>
            </w:r>
          </w:p>
        </w:tc>
      </w:tr>
      <w:tr>
        <w:trPr>
          <w:trHeight w:val="216"/>
        </w:trPr>
        <w:tc>
          <w:tcPr>
            <w:tcW w:w="35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5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6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Jane Pritchett Henderson</w:t>
            </w:r>
          </w:p>
        </w:tc>
      </w:tr>
      <w:tr>
        <w:trPr>
          <w:trHeight w:val="189"/>
        </w:trPr>
        <w:tc>
          <w:tcPr>
            <w:tcW w:w="3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Jane Pritchett Henderson</w:t>
            </w:r>
          </w:p>
        </w:tc>
      </w:tr>
      <w:tr>
        <w:trPr>
          <w:trHeight w:val="216"/>
        </w:trPr>
        <w:tc>
          <w:tcPr>
            <w:tcW w:w="35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5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864"/>
        </w:trPr>
        <w:tc>
          <w:tcPr>
            <w:tcW w:w="3500" w:type="dxa"/>
            <w:vAlign w:val="bottom"/>
          </w:tcPr>
          <w:p>
            <w:pPr>
              <w:spacing w:after="0"/>
              <w:rPr>
                <w:sz w:val="24"/>
                <w:szCs w:val="24"/>
                <w:color w:val="auto"/>
              </w:rPr>
            </w:pPr>
          </w:p>
        </w:tc>
        <w:tc>
          <w:tcPr>
            <w:tcW w:w="2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72</w:t>
            </w:r>
          </w:p>
        </w:tc>
        <w:tc>
          <w:tcPr>
            <w:tcW w:w="5100" w:type="dxa"/>
            <w:vAlign w:val="bottom"/>
          </w:tcPr>
          <w:p>
            <w:pPr>
              <w:spacing w:after="0"/>
              <w:rPr>
                <w:sz w:val="24"/>
                <w:szCs w:val="24"/>
                <w:color w:val="auto"/>
              </w:rPr>
            </w:pPr>
          </w:p>
        </w:tc>
      </w:tr>
      <w:tr>
        <w:trPr>
          <w:trHeight w:val="507"/>
        </w:trPr>
        <w:tc>
          <w:tcPr>
            <w:tcW w:w="35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Henderson, certify that:</w:t>
      </w:r>
    </w:p>
    <w:p>
      <w:pPr>
        <w:spacing w:after="0" w:line="225"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Therapeutics, Inc.;</w:t>
      </w:r>
    </w:p>
    <w:p>
      <w:pPr>
        <w:spacing w:after="0" w:line="225" w:lineRule="exact"/>
        <w:rPr>
          <w:rFonts w:ascii="Times New Roman" w:cs="Times New Roman" w:eastAsia="Times New Roman" w:hAnsi="Times New Roman"/>
          <w:sz w:val="18"/>
          <w:szCs w:val="18"/>
          <w:color w:val="auto"/>
        </w:rPr>
      </w:pPr>
    </w:p>
    <w:p>
      <w:pPr>
        <w:jc w:val="both"/>
        <w:ind w:left="360" w:right="400" w:hanging="352"/>
        <w:spacing w:after="0" w:line="266"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360" w:hanging="352"/>
        <w:spacing w:after="0" w:line="282"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60" w:right="400" w:hanging="352"/>
        <w:spacing w:after="0" w:line="266"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or the registrant and have:</w:t>
      </w:r>
    </w:p>
    <w:p>
      <w:pPr>
        <w:spacing w:after="0" w:line="67" w:lineRule="exact"/>
        <w:rPr>
          <w:rFonts w:ascii="Times New Roman" w:cs="Times New Roman" w:eastAsia="Times New Roman" w:hAnsi="Times New Roman"/>
          <w:sz w:val="18"/>
          <w:szCs w:val="18"/>
          <w:color w:val="auto"/>
        </w:rPr>
      </w:pPr>
    </w:p>
    <w:p>
      <w:pPr>
        <w:ind w:left="720" w:right="300" w:hanging="353"/>
        <w:spacing w:after="0" w:line="266" w:lineRule="auto"/>
        <w:tabs>
          <w:tab w:leader="none" w:pos="7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20" w:right="620" w:hanging="353"/>
        <w:spacing w:after="0" w:line="266" w:lineRule="auto"/>
        <w:tabs>
          <w:tab w:leader="none" w:pos="7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20" w:right="780" w:hanging="353"/>
        <w:spacing w:after="0" w:line="282" w:lineRule="auto"/>
        <w:tabs>
          <w:tab w:leader="none" w:pos="7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720" w:right="20" w:hanging="353"/>
        <w:spacing w:after="0" w:line="266" w:lineRule="auto"/>
        <w:tabs>
          <w:tab w:leader="none" w:pos="7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60" w:right="300" w:hanging="352"/>
        <w:spacing w:after="0" w:line="282"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20" w:right="200" w:hanging="353"/>
        <w:spacing w:after="0" w:line="282" w:lineRule="auto"/>
        <w:tabs>
          <w:tab w:leader="none" w:pos="7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20" w:right="180" w:hanging="353"/>
        <w:spacing w:after="0" w:line="282" w:lineRule="auto"/>
        <w:tabs>
          <w:tab w:leader="none" w:pos="7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754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  /s/ Michael Henderson, M.D.</w:t>
            </w:r>
          </w:p>
        </w:tc>
      </w:tr>
      <w:tr>
        <w:trPr>
          <w:trHeight w:val="191"/>
        </w:trPr>
        <w:tc>
          <w:tcPr>
            <w:tcW w:w="37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Henderson, M.D.</w:t>
            </w:r>
          </w:p>
        </w:tc>
      </w:tr>
      <w:tr>
        <w:trPr>
          <w:trHeight w:val="214"/>
        </w:trPr>
        <w:tc>
          <w:tcPr>
            <w:tcW w:w="3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627"/>
        </w:trPr>
        <w:tc>
          <w:tcPr>
            <w:tcW w:w="37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Jane Pritchett Henderson, certify that:</w:t>
      </w:r>
    </w:p>
    <w:p>
      <w:pPr>
        <w:spacing w:after="0" w:line="225"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Therapeutics, Inc.;</w:t>
      </w:r>
    </w:p>
    <w:p>
      <w:pPr>
        <w:spacing w:after="0" w:line="225" w:lineRule="exact"/>
        <w:rPr>
          <w:rFonts w:ascii="Times New Roman" w:cs="Times New Roman" w:eastAsia="Times New Roman" w:hAnsi="Times New Roman"/>
          <w:sz w:val="18"/>
          <w:szCs w:val="18"/>
          <w:color w:val="auto"/>
        </w:rPr>
      </w:pPr>
    </w:p>
    <w:p>
      <w:pPr>
        <w:jc w:val="both"/>
        <w:ind w:left="360" w:right="400" w:hanging="352"/>
        <w:spacing w:after="0" w:line="266" w:lineRule="auto"/>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360" w:hanging="352"/>
        <w:spacing w:after="0" w:line="282" w:lineRule="auto"/>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60" w:right="400" w:hanging="352"/>
        <w:spacing w:after="0" w:line="266" w:lineRule="auto"/>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20" w:right="300" w:hanging="353"/>
        <w:spacing w:after="0" w:line="266" w:lineRule="auto"/>
        <w:tabs>
          <w:tab w:leader="none" w:pos="7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20" w:right="620" w:hanging="353"/>
        <w:spacing w:after="0" w:line="266" w:lineRule="auto"/>
        <w:tabs>
          <w:tab w:leader="none" w:pos="7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20" w:right="780" w:hanging="353"/>
        <w:spacing w:after="0" w:line="282" w:lineRule="auto"/>
        <w:tabs>
          <w:tab w:leader="none" w:pos="7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720" w:right="20" w:hanging="353"/>
        <w:spacing w:after="0" w:line="266" w:lineRule="auto"/>
        <w:tabs>
          <w:tab w:leader="none" w:pos="7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60" w:right="300" w:hanging="352"/>
        <w:spacing w:after="0" w:line="282" w:lineRule="auto"/>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20" w:right="200" w:hanging="353"/>
        <w:spacing w:after="0" w:line="282" w:lineRule="auto"/>
        <w:tabs>
          <w:tab w:leader="none" w:pos="7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20" w:right="180" w:hanging="353"/>
        <w:spacing w:after="0" w:line="282" w:lineRule="auto"/>
        <w:tabs>
          <w:tab w:leader="none" w:pos="7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754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  /s/ Jane Pritchett Henderson</w:t>
            </w:r>
          </w:p>
        </w:tc>
      </w:tr>
      <w:tr>
        <w:trPr>
          <w:trHeight w:val="191"/>
        </w:trPr>
        <w:tc>
          <w:tcPr>
            <w:tcW w:w="3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Jane Pritchett Henderson</w:t>
            </w:r>
          </w:p>
        </w:tc>
      </w:tr>
      <w:tr>
        <w:trPr>
          <w:trHeight w:val="214"/>
        </w:trPr>
        <w:tc>
          <w:tcPr>
            <w:tcW w:w="3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7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1627"/>
        </w:trPr>
        <w:tc>
          <w:tcPr>
            <w:tcW w:w="37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5"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Apogee Therapeutics, Inc. (the “Company”) for the period ended March 31, 2026, as filed with the Securities and Exchange Commission on the date hereof (the “Report”), each of the undersigned officers of the Company hereby certifies, pursuant to 18 U.S.C. § 1350, as adopted pursuant to § 906 of the Sarbanes-Oxley Act of 2002, that to the best of his or her knowledge:</w:t>
      </w:r>
    </w:p>
    <w:p>
      <w:pPr>
        <w:spacing w:after="0" w:line="68"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765" w:right="339" w:bottom="1440" w:gutter="0" w:footer="0" w:header="0"/>
        </w:sect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11, 2026</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Henderson, M.D.</w:t>
            </w:r>
          </w:p>
        </w:tc>
      </w:tr>
      <w:tr>
        <w:trPr>
          <w:trHeight w:val="191"/>
        </w:trPr>
        <w:tc>
          <w:tcPr>
            <w:tcW w:w="66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Henderson, M.D.</w:t>
            </w:r>
          </w:p>
        </w:tc>
      </w:tr>
      <w:tr>
        <w:trPr>
          <w:trHeight w:val="214"/>
        </w:trPr>
        <w:tc>
          <w:tcPr>
            <w:tcW w:w="6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Jane Pritchett Henderson</w:t>
            </w:r>
          </w:p>
        </w:tc>
      </w:tr>
      <w:tr>
        <w:trPr>
          <w:trHeight w:val="191"/>
        </w:trPr>
        <w:tc>
          <w:tcPr>
            <w:tcW w:w="66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Jane Pritchett Henderson</w:t>
            </w:r>
          </w:p>
        </w:tc>
      </w:tr>
      <w:tr>
        <w:trPr>
          <w:trHeight w:val="214"/>
        </w:trPr>
        <w:tc>
          <w:tcPr>
            <w:tcW w:w="6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ectPr>
          <w:pgSz w:w="11900" w:h="16838" w:orient="portrait"/>
          <w:cols w:equalWidth="0" w:num="2">
            <w:col w:w="4840" w:space="720"/>
            <w:col w:w="5680"/>
          </w:cols>
          <w:pgMar w:left="320" w:top="765" w:right="339" w:bottom="1440" w:gutter="0" w:footer="0" w:header="0"/>
          <w:type w:val="continuous"/>
        </w:sectPr>
      </w:pPr>
    </w:p>
    <w:p>
      <w:pPr>
        <w:spacing w:after="0" w:line="106"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76" w:lineRule="exact"/>
        <w:rPr>
          <w:sz w:val="20"/>
          <w:szCs w:val="20"/>
          <w:color w:val="auto"/>
        </w:rPr>
      </w:pPr>
    </w:p>
    <w:p>
      <w:pPr>
        <w:ind w:right="540" w:firstLine="374"/>
        <w:spacing w:after="0" w:line="282" w:lineRule="auto"/>
        <w:rPr>
          <w:sz w:val="20"/>
          <w:szCs w:val="20"/>
          <w:color w:val="auto"/>
        </w:rPr>
      </w:pPr>
      <w:r>
        <w:rPr>
          <w:rFonts w:ascii="Times New Roman" w:cs="Times New Roman" w:eastAsia="Times New Roman" w:hAnsi="Times New Roman"/>
          <w:sz w:val="18"/>
          <w:szCs w:val="18"/>
          <w:color w:val="auto"/>
        </w:rPr>
        <w:t>Note: 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2"/>
    </w:lvl>
  </w:abstractNum>
  <w:abstractNum w:abstractNumId="6">
    <w:nsid w:val="333AB105"/>
    <w:multiLevelType w:val="hybridMultilevel"/>
    <w:lvl w:ilvl="0">
      <w:lvlJc w:val="left"/>
      <w:lvlText w:val="%1."/>
      <w:numFmt w:val="decimal"/>
      <w:start w:val="3"/>
    </w:lvl>
  </w:abstractNum>
  <w:abstractNum w:abstractNumId="7">
    <w:nsid w:val="721DA317"/>
    <w:multiLevelType w:val="hybridMultilevel"/>
    <w:lvl w:ilvl="0">
      <w:lvlJc w:val="left"/>
      <w:lvlText w:val="%1."/>
      <w:numFmt w:val="decimal"/>
      <w:start w:val="4"/>
    </w:lvl>
  </w:abstractNum>
  <w:abstractNum w:abstractNumId="8">
    <w:nsid w:val="2443A858"/>
    <w:multiLevelType w:val="hybridMultilevel"/>
    <w:lvl w:ilvl="0">
      <w:lvlJc w:val="left"/>
      <w:lvlText w:val="%1."/>
      <w:numFmt w:val="decimal"/>
      <w:start w:val="5"/>
    </w:lvl>
  </w:abstractNum>
  <w:abstractNum w:abstractNumId="9">
    <w:nsid w:val="2D1D5AE9"/>
    <w:multiLevelType w:val="hybridMultilevel"/>
    <w:lvl w:ilvl="0">
      <w:lvlJc w:val="left"/>
      <w:lvlText w:val="%1."/>
      <w:numFmt w:val="decimal"/>
      <w:start w:val="6"/>
    </w:lvl>
  </w:abstractNum>
  <w:abstractNum w:abstractNumId="10">
    <w:nsid w:val="6763845E"/>
    <w:multiLevelType w:val="hybridMultilevel"/>
    <w:lvl w:ilvl="0">
      <w:lvlJc w:val="left"/>
      <w:lvlText w:val="%1."/>
      <w:numFmt w:val="decimal"/>
      <w:start w:val="7"/>
    </w:lvl>
  </w:abstractNum>
  <w:abstractNum w:abstractNumId="11">
    <w:nsid w:val="75A2A8D4"/>
    <w:multiLevelType w:val="hybridMultilevel"/>
    <w:lvl w:ilvl="0">
      <w:lvlJc w:val="left"/>
      <w:lvlText w:val="%1."/>
      <w:numFmt w:val="decimal"/>
      <w:start w:val="8"/>
    </w:lvl>
  </w:abstractNum>
  <w:abstractNum w:abstractNumId="12">
    <w:nsid w:val="8EDBDAB"/>
    <w:multiLevelType w:val="hybridMultilevel"/>
    <w:lvl w:ilvl="0">
      <w:lvlJc w:val="left"/>
      <w:lvlText w:val="%1."/>
      <w:numFmt w:val="decimal"/>
      <w:start w:val="9"/>
    </w:lvl>
  </w:abstractNum>
  <w:abstractNum w:abstractNumId="13">
    <w:nsid w:val="79838CB2"/>
    <w:multiLevelType w:val="hybridMultilevel"/>
    <w:lvl w:ilvl="0">
      <w:lvlJc w:val="left"/>
      <w:lvlText w:val="%1."/>
      <w:numFmt w:val="decimal"/>
      <w:start w:val="10"/>
    </w:lvl>
  </w:abstractNum>
  <w:abstractNum w:abstractNumId="14">
    <w:nsid w:val="4353D0CD"/>
    <w:multiLevelType w:val="hybridMultilevel"/>
    <w:lvl w:ilvl="0">
      <w:lvlJc w:val="left"/>
      <w:lvlText w:val="%1."/>
      <w:numFmt w:val="decimal"/>
      <w:start w:val="11"/>
    </w:lvl>
  </w:abstractNum>
  <w:abstractNum w:abstractNumId="15">
    <w:nsid w:val="B03E0C6"/>
    <w:multiLevelType w:val="hybridMultilevel"/>
    <w:lvl w:ilvl="0">
      <w:lvlJc w:val="left"/>
      <w:lvlText w:val="%1."/>
      <w:numFmt w:val="decimal"/>
      <w:start w:val="12"/>
    </w:lvl>
  </w:abstractNum>
  <w:abstractNum w:abstractNumId="16">
    <w:nsid w:val="189A769B"/>
    <w:multiLevelType w:val="hybridMultilevel"/>
    <w:lvl w:ilvl="0">
      <w:lvlJc w:val="left"/>
      <w:lvlText w:val="%1."/>
      <w:numFmt w:val="decimal"/>
      <w:start w:val="13"/>
    </w:lvl>
  </w:abstractNum>
  <w:abstractNum w:abstractNumId="17">
    <w:nsid w:val="54E49EB4"/>
    <w:multiLevelType w:val="hybridMultilevel"/>
    <w:lvl w:ilvl="0">
      <w:lvlJc w:val="left"/>
      <w:lvlText w:val="%1."/>
      <w:numFmt w:val="decimal"/>
      <w:start w:val="14"/>
    </w:lvl>
  </w:abstractNum>
  <w:abstractNum w:abstractNumId="18">
    <w:nsid w:val="71F32454"/>
    <w:multiLevelType w:val="hybridMultilevel"/>
    <w:lvl w:ilvl="0">
      <w:lvlJc w:val="left"/>
      <w:lvlText w:val="%1."/>
      <w:numFmt w:val="decimal"/>
      <w:start w:val="15"/>
    </w:lvl>
  </w:abstractNum>
  <w:abstractNum w:abstractNumId="19">
    <w:nsid w:val="2CA88611"/>
    <w:multiLevelType w:val="hybridMultilevel"/>
    <w:lvl w:ilvl="0">
      <w:lvlJc w:val="left"/>
      <w:lvlText w:val="%1"/>
      <w:numFmt w:val="decimal"/>
      <w:start w:val="1"/>
    </w:lvl>
    <w:lvl w:ilvl="1">
      <w:lvlJc w:val="left"/>
      <w:lvlText w:val="(%2)"/>
      <w:numFmt w:val="decimal"/>
      <w:start w:val="1"/>
    </w:lvl>
  </w:abstractNum>
  <w:abstractNum w:abstractNumId="20">
    <w:nsid w:val="836C40E"/>
    <w:multiLevelType w:val="hybridMultilevel"/>
    <w:lvl w:ilvl="0">
      <w:lvlJc w:val="left"/>
      <w:lvlText w:val="%1."/>
      <w:numFmt w:val="decimal"/>
      <w:start w:val="16"/>
    </w:lvl>
    <w:lvl w:ilvl="1">
      <w:lvlJc w:val="left"/>
      <w:lvlText w:val="%2"/>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lvl w:ilvl="1">
      <w:lvlJc w:val="left"/>
      <w:lvlText w:val="(%2)"/>
      <w:numFmt w:val="decimal"/>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56" Type="http://schemas.openxmlformats.org/officeDocument/2006/relationships/hyperlink" Target="https://www.sec.gov/Archives/edgar/data/1974640/000155837023015278/apge-20230630xex2d1.htm" TargetMode="External"/><Relationship Id="rId257" Type="http://schemas.openxmlformats.org/officeDocument/2006/relationships/hyperlink" Target="https://www.sec.gov/Archives/edgar/data/1974640/000155837023015278/apge-20230630xex3d1.htm" TargetMode="External"/><Relationship Id="rId258" Type="http://schemas.openxmlformats.org/officeDocument/2006/relationships/hyperlink" Target="https://www.sec.gov/Archives/edgar/data/1974640/000155837023015278/apge-20230630xex3d2.htm" TargetMode="External"/><Relationship Id="rId259" Type="http://schemas.openxmlformats.org/officeDocument/2006/relationships/hyperlink" Target="https://www.sec.gov/Archives/edgar/data/1974640/000110465923077648/tm2313083d10_ex4-1.htm" TargetMode="External"/><Relationship Id="rId260" Type="http://schemas.openxmlformats.org/officeDocument/2006/relationships/hyperlink" Target="https://www.sec.gov/Archives/edgar/data/1974640/000155837023015278/apge-20230630xex4d2.htm" TargetMode="External"/><Relationship Id="rId261" Type="http://schemas.openxmlformats.org/officeDocument/2006/relationships/hyperlink" Target="https://www.sec.gov/Archives/edgar/data/1974640/000110465925098487/tm2528385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2026-05-11T06:25:09Z</dcterms:created>
  <dcterms:modified xsi:type="dcterms:W3CDTF">2026-05-11T06:25:09Z</dcterms:modified>
</cp:coreProperties>
</file>