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6541_defa14a.htm"/>
      <w:bookmarkStart w:id="1" w:name="ksef20076541_defa14a"/>
      <w:bookmarkStart w:id="2" w:name="ef20076541_defa14a.htm"/>
      <w:bookmarkStart w:id="3" w:name="ksef20076541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rPr>
      </w:pPr>
      <w:r>
        <w:rPr>
          <w:b/>
        </w:rPr>
      </w:r>
    </w:p>
    <w:p>
      <w:pPr>
        <w:pStyle w:val="HorizontalLine"/>
        <w:pBdr>
          <w:bottom w:val="single" w:sz="12" w:space="0" w:color="808080"/>
        </w:pBdr>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0" w:after="0"/>
        <w:jc w:val="center"/>
        <w:rPr>
          <w:b/>
        </w:rPr>
      </w:pPr>
      <w:r>
        <w:rPr>
          <w:b/>
        </w:rPr>
      </w:r>
    </w:p>
    <w:p>
      <w:pPr>
        <w:pStyle w:val="HorizontalLine"/>
        <w:pBdr>
          <w:bottom w:val="single" w:sz="12" w:space="0" w:color="808080"/>
        </w:pBdr>
        <w:bidi w:val="0"/>
        <w:jc w:val="center"/>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dae0df525e7241449a5700482c3aeb1f"/>
      <w:bookmarkStart w:id="5" w:name="zdae0df525e7241449a5700482c3aeb1f"/>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color w:val="000000"/>
              </w:rPr>
            </w:pPr>
            <w:r>
              <w:rPr>
                <w:color w:val="000000"/>
              </w:rPr>
              <w:t>Preliminary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fa9450538836418e9cdb4b4d3a1cfaba"/>
      <w:bookmarkStart w:id="7" w:name="zfa9450538836418e9cdb4b4d3a1cfaba"/>
      <w:bookmarkEnd w:id="7"/>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0"/>
              <w:jc w:val="left"/>
              <w:rPr>
                <w:color w:val="000000"/>
              </w:rPr>
            </w:pPr>
            <w:r>
              <w:rPr>
                <w:color w:val="000000"/>
              </w:rPr>
              <w:t>☐</w:t>
            </w:r>
          </w:p>
        </w:tc>
        <w:tc>
          <w:tcPr>
            <w:tcW w:w="8105" w:type="dxa"/>
            <w:tcBorders/>
            <w:vAlign w:val="center"/>
          </w:tcPr>
          <w:p>
            <w:pPr>
              <w:pStyle w:val="TableContents"/>
              <w:bidi w:val="0"/>
              <w:spacing w:before="0" w:after="0"/>
              <w:jc w:val="left"/>
              <w:rPr>
                <w:b/>
                <w:color w:val="000000"/>
              </w:rPr>
            </w:pPr>
            <w:r>
              <w:rPr>
                <w:b/>
                <w:color w:val="000000"/>
              </w:rPr>
              <w:t>Confidential, for Use of the Commission Only (as permitted by Rule 14a-6(e)(2))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54f7cb6e0650413ba0efadb05551a32a"/>
      <w:bookmarkStart w:id="9" w:name="z54f7cb6e0650413ba0efadb05551a32a"/>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color w:val="000000"/>
              </w:rPr>
            </w:pPr>
            <w:r>
              <w:rPr>
                <w:color w:val="000000"/>
              </w:rPr>
              <w:t>☐</w:t>
            </w:r>
          </w:p>
        </w:tc>
        <w:tc>
          <w:tcPr>
            <w:tcW w:w="2600" w:type="dxa"/>
            <w:tcBorders/>
            <w:vAlign w:val="center"/>
          </w:tcPr>
          <w:p>
            <w:pPr>
              <w:pStyle w:val="TableContents"/>
              <w:bidi w:val="0"/>
              <w:spacing w:before="0" w:after="0"/>
              <w:jc w:val="left"/>
              <w:rPr>
                <w:color w:val="000000"/>
              </w:rPr>
            </w:pPr>
            <w:r>
              <w:rPr>
                <w:color w:val="000000"/>
              </w:rPr>
              <w:t>Definitive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9119df4e690a4554b89ef06eae2534e4"/>
      <w:bookmarkStart w:id="11" w:name="z9119df4e690a4554b89ef06eae2534e4"/>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color w:val="000000"/>
              </w:rPr>
            </w:pPr>
            <w:r>
              <w:rPr>
                <w:color w:val="000000"/>
              </w:rPr>
              <w:t>Definitive Additional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f7145fc1d63f4ba6be894b43268bcce0"/>
      <w:bookmarkStart w:id="13" w:name="zf7145fc1d63f4ba6be894b43268bcce0"/>
      <w:bookmarkEnd w:id="13"/>
    </w:p>
    <w:tbl>
      <w:tblPr>
        <w:tblW w:w="4405" w:type="dxa"/>
        <w:jc w:val="left"/>
        <w:tblInd w:w="0" w:type="dxa"/>
        <w:tblLayout w:type="fixed"/>
        <w:tblCellMar>
          <w:top w:w="0" w:type="dxa"/>
          <w:left w:w="0" w:type="dxa"/>
          <w:bottom w:w="0" w:type="dxa"/>
          <w:right w:w="0" w:type="dxa"/>
        </w:tblCellMar>
      </w:tblPr>
      <w:tblGrid>
        <w:gridCol w:w="245"/>
        <w:gridCol w:w="4160"/>
      </w:tblGrid>
      <w:tr>
        <w:trPr/>
        <w:tc>
          <w:tcPr>
            <w:tcW w:w="245"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color w:val="000000"/>
              </w:rPr>
            </w:pPr>
            <w:r>
              <w:rPr>
                <w:color w:val="000000"/>
              </w:rPr>
              <w:t>Soliciting Material Pursuant to §240.14a-12</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APOGEE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Payment of Filing Fee (Check the appropriate box):</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c3ed3441d91149edbce3736255cefdaa"/>
      <w:bookmarkStart w:id="15" w:name="zc3ed3441d91149edbce3736255cefdaa"/>
      <w:bookmarkEnd w:id="15"/>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0"/>
              <w:jc w:val="left"/>
              <w:rPr>
                <w:color w:val="000000"/>
              </w:rPr>
            </w:pPr>
            <w:r>
              <w:rPr>
                <w:color w:val="000000"/>
              </w:rPr>
              <w:t>☒</w:t>
            </w:r>
          </w:p>
        </w:tc>
        <w:tc>
          <w:tcPr>
            <w:tcW w:w="1580" w:type="dxa"/>
            <w:tcBorders/>
            <w:vAlign w:val="center"/>
          </w:tcPr>
          <w:p>
            <w:pPr>
              <w:pStyle w:val="TableContents"/>
              <w:bidi w:val="0"/>
              <w:spacing w:before="0" w:after="0"/>
              <w:jc w:val="left"/>
              <w:rPr>
                <w:color w:val="000000"/>
              </w:rPr>
            </w:pPr>
            <w:r>
              <w:rPr>
                <w:color w:val="000000"/>
              </w:rPr>
              <w:t>No fee required.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c5a0669e1ceb4debb125ff0826ef49e8"/>
      <w:bookmarkStart w:id="17" w:name="zc5a0669e1ceb4debb125ff0826ef49e8"/>
      <w:bookmarkEnd w:id="17"/>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color w:val="000000"/>
              </w:rPr>
            </w:pPr>
            <w:r>
              <w:rPr>
                <w:color w:val="000000"/>
              </w:rPr>
              <w:t>Fee paid previously with preliminary materials.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e3a5681d6d764ec897f7d304e199fe4c"/>
      <w:bookmarkStart w:id="19" w:name="ze3a5681d6d764ec897f7d304e199fe4c"/>
      <w:bookmarkEnd w:id="19"/>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left"/>
              <w:rPr>
                <w:color w:val="000000"/>
              </w:rPr>
            </w:pPr>
            <w:r>
              <w:rPr>
                <w:color w:val="000000"/>
              </w:rPr>
              <w:t>Fee computed on table in exhibit required by Item 25(b) per Exchange Act Rules 14a-6(i)(1) and 0-11.</w:t>
            </w:r>
          </w:p>
        </w:tc>
      </w:tr>
    </w:tbl>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Schedule 14A relates solely to preliminary communications made prior to furnishing security holders of Apogee Therapeutics, Inc. (“</w:t>
      </w:r>
      <w:r>
        <w:rPr>
          <w:rFonts w:ascii="Times New Roman" w:hAnsi="Times New Roman"/>
          <w:color w:val="000000"/>
          <w:sz w:val="20"/>
          <w:u w:val="single"/>
        </w:rPr>
        <w:t>Apogee</w:t>
      </w:r>
      <w:r>
        <w:rPr>
          <w:rFonts w:ascii="Times New Roman" w:hAnsi="Times New Roman"/>
          <w:color w:val="000000"/>
          <w:sz w:val="20"/>
        </w:rPr>
        <w:t>” or the “</w:t>
      </w:r>
      <w:r>
        <w:rPr>
          <w:rFonts w:ascii="Times New Roman" w:hAnsi="Times New Roman"/>
          <w:color w:val="000000"/>
          <w:sz w:val="20"/>
          <w:u w:val="single"/>
        </w:rPr>
        <w:t>Company</w:t>
      </w:r>
      <w:r>
        <w:rPr>
          <w:rFonts w:ascii="Times New Roman" w:hAnsi="Times New Roman"/>
          <w:color w:val="000000"/>
          <w:sz w:val="20"/>
        </w:rPr>
        <w:t>”) with a proxy statement related to a proposed transaction in which Andor Merger Co. (“</w:t>
      </w:r>
      <w:r>
        <w:rPr>
          <w:rFonts w:ascii="Times New Roman" w:hAnsi="Times New Roman"/>
          <w:color w:val="000000"/>
          <w:sz w:val="20"/>
          <w:u w:val="single"/>
        </w:rPr>
        <w:t>Merger Sub</w:t>
      </w:r>
      <w:r>
        <w:rPr>
          <w:rFonts w:ascii="Times New Roman" w:hAnsi="Times New Roman"/>
          <w:color w:val="000000"/>
          <w:sz w:val="20"/>
        </w:rPr>
        <w:t>”), a Delaware corporation and wholly owned subsidiary of Andor LLC (“</w:t>
      </w:r>
      <w:r>
        <w:rPr>
          <w:rFonts w:ascii="Times New Roman" w:hAnsi="Times New Roman"/>
          <w:color w:val="000000"/>
          <w:sz w:val="20"/>
          <w:u w:val="single"/>
        </w:rPr>
        <w:t>Parent</w:t>
      </w:r>
      <w:r>
        <w:rPr>
          <w:rFonts w:ascii="Times New Roman" w:hAnsi="Times New Roman"/>
          <w:color w:val="000000"/>
          <w:sz w:val="20"/>
        </w:rPr>
        <w:t>”), a Delaware limited liability company and a wholly owned subsidiary of AbbVie Inc. (“</w:t>
      </w:r>
      <w:r>
        <w:rPr>
          <w:rFonts w:ascii="Times New Roman" w:hAnsi="Times New Roman"/>
          <w:color w:val="000000"/>
          <w:sz w:val="20"/>
          <w:u w:val="single"/>
        </w:rPr>
        <w:t>AbbVie</w:t>
      </w:r>
      <w:r>
        <w:rPr>
          <w:rFonts w:ascii="Times New Roman" w:hAnsi="Times New Roman"/>
          <w:color w:val="000000"/>
          <w:sz w:val="20"/>
        </w:rPr>
        <w:t>”), will merge with and into the Company (the “</w:t>
      </w:r>
      <w:r>
        <w:rPr>
          <w:rFonts w:ascii="Times New Roman" w:hAnsi="Times New Roman"/>
          <w:color w:val="000000"/>
          <w:sz w:val="20"/>
          <w:u w:val="single"/>
        </w:rPr>
        <w:t>Merger</w:t>
      </w:r>
      <w:r>
        <w:rPr>
          <w:rFonts w:ascii="Times New Roman" w:hAnsi="Times New Roman"/>
          <w:color w:val="000000"/>
          <w:sz w:val="20"/>
        </w:rPr>
        <w:t>”), with the Company surviving the Merger as a wholly owned subsidiary of Parent, upon the terms and subject to the conditions set forth in the Agreement and Plan of Merger, dated June 18, 2026, among Parent, Merger Sub, the Company, and solely for the limited purposes set forth therein, AbbVie.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Schedule 14A filing consists of the following documents relating to the Merger:</w:t>
      </w:r>
    </w:p>
    <w:p>
      <w:pPr>
        <w:pStyle w:val="TextBody"/>
        <w:bidi w:val="0"/>
        <w:spacing w:before="0" w:after="0"/>
        <w:jc w:val="left"/>
        <w:rPr/>
      </w:pPr>
      <w:r>
        <w:rPr/>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99.1: All Team Email</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99.2: Employee FAQ</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99.3: Partner &amp; Vendor Email</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99.4: KOL Email</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99.5: Principal Investigator Email</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99.6: Investor &amp; Analyst Courtesy Note</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99.7: LinkedIn Post</w:t>
      </w:r>
    </w:p>
    <w:p>
      <w:pPr>
        <w:pStyle w:val="TextBody"/>
        <w:bidi w:val="0"/>
        <w:spacing w:before="0" w:after="0"/>
        <w:ind w:left="540" w:right="0" w:hanging="0"/>
        <w:jc w:val="left"/>
        <w:rPr>
          <w:rFonts w:ascii="Times New Roman" w:hAnsi="Times New Roman"/>
          <w:color w:val="000000"/>
          <w:sz w:val="20"/>
        </w:rPr>
      </w:pPr>
      <w:r>
        <w:rPr>
          <w:rFonts w:ascii="Times New Roman" w:hAnsi="Times New Roman"/>
          <w:color w:val="000000"/>
          <w:sz w:val="20"/>
        </w:rPr>
        <w:t>Exhibit 99.8: AbbVie Investor Presentation</w:t>
      </w:r>
    </w:p>
    <w:p>
      <w:pPr>
        <w:pStyle w:val="TextBody"/>
        <w:bidi w:val="0"/>
        <w:spacing w:before="0" w:after="0"/>
        <w:jc w:val="left"/>
        <w:rPr/>
      </w:pPr>
      <w:r>
        <w:rPr/>
      </w:r>
    </w:p>
    <w:p>
      <w:pPr>
        <w:pStyle w:val="TextBody"/>
        <w:bidi w:val="0"/>
        <w:spacing w:before="0" w:after="0"/>
        <w:ind w:left="540" w:right="0" w:hanging="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pPr>
      <w:r>
        <w:rPr>
          <w:rFonts w:ascii="Times New Roman" w:hAnsi="Times New Roman"/>
          <w:color w:val="000000"/>
          <w:sz w:val="20"/>
        </w:rPr>
        <w:t xml:space="preserve">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w:t>
      </w:r>
      <w:hyperlink r:id="rId2">
        <w:r>
          <w:rPr>
            <w:rStyle w:val="InternetLink"/>
          </w:rPr>
          <w:t>February 20, 2026</w:t>
        </w:r>
      </w:hyperlink>
      <w:r>
        <w:rPr>
          <w:rFonts w:ascii="Times New Roman" w:hAnsi="Times New Roman"/>
          <w:color w:val="000000"/>
          <w:sz w:val="20"/>
        </w:rPr>
        <w:t xml:space="preserve">, and </w:t>
      </w:r>
      <w:hyperlink r:id="rId3">
        <w:r>
          <w:rPr>
            <w:rStyle w:val="InternetLink"/>
          </w:rPr>
          <w:t>March 2, 2026</w:t>
        </w:r>
      </w:hyperlink>
      <w:r>
        <w:rPr>
          <w:rFonts w:ascii="Times New Roman" w:hAnsi="Times New Roman"/>
          <w:color w:val="000000"/>
          <w:sz w:val="20"/>
        </w:rPr>
        <w:t>,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www.sec.gov or by accessing the Investors section of Apogee’s website at https://investors.apogeetherapeutics.com.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4">
        <w:r>
          <w:rPr>
            <w:rStyle w:val="InternetLink"/>
            <w:rFonts w:ascii="Times New Roman" w:hAnsi="Times New Roman"/>
            <w:color w:val="0000FF"/>
            <w:sz w:val="20"/>
            <w:u w:val="single"/>
          </w:rPr>
          <w:t>April 24, 2026</w:t>
        </w:r>
      </w:hyperlink>
      <w:r>
        <w:rPr>
          <w:rFonts w:ascii="Times New Roman" w:hAnsi="Times New Roman"/>
          <w:color w:val="000000"/>
          <w:sz w:val="20"/>
        </w:rPr>
        <w:t xml:space="preserve">, and in Apogee’s Current Reports on Form 8-K, filed with the SEC on </w:t>
      </w:r>
      <w:hyperlink r:id="rId5">
        <w:r>
          <w:rPr>
            <w:rStyle w:val="InternetLink"/>
            <w:rFonts w:ascii="Times New Roman" w:hAnsi="Times New Roman"/>
            <w:color w:val="0000FF"/>
            <w:sz w:val="20"/>
            <w:u w:val="single"/>
          </w:rPr>
          <w:t>April 24, 2026</w:t>
        </w:r>
      </w:hyperlink>
      <w:r>
        <w:rPr>
          <w:rFonts w:ascii="Times New Roman" w:hAnsi="Times New Roman"/>
          <w:color w:val="000000"/>
          <w:sz w:val="20"/>
        </w:rPr>
        <w:t xml:space="preserve">, and </w:t>
      </w:r>
      <w:hyperlink r:id="rId6">
        <w:r>
          <w:rPr>
            <w:rStyle w:val="InternetLink"/>
          </w:rPr>
          <w:t>June 12, 2026</w:t>
        </w:r>
      </w:hyperlink>
      <w:r>
        <w:rPr>
          <w:rFonts w:ascii="Times New Roman" w:hAnsi="Times New Roman"/>
          <w:color w:val="000000"/>
          <w:sz w:val="20"/>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7">
        <w:r>
          <w:rPr>
            <w:rStyle w:val="InternetLink"/>
            <w:rFonts w:ascii="Times New Roman" w:hAnsi="Times New Roman"/>
            <w:color w:val="0000FF"/>
            <w:sz w:val="20"/>
            <w:u w:val="single"/>
          </w:rPr>
          <w:t>March 23, 2026</w:t>
        </w:r>
      </w:hyperlink>
      <w:r>
        <w:rPr>
          <w:rFonts w:ascii="Times New Roman" w:hAnsi="Times New Roman"/>
          <w:color w:val="000000"/>
          <w:sz w:val="20"/>
        </w:rPr>
        <w:t xml:space="preserve">, and in AbbVie’s Current Report on Form 8-K, filed with the SEC on </w:t>
      </w:r>
      <w:hyperlink r:id="rId8">
        <w:r>
          <w:rPr>
            <w:rStyle w:val="InternetLink"/>
            <w:rFonts w:ascii="Times New Roman" w:hAnsi="Times New Roman"/>
            <w:color w:val="0000FF"/>
            <w:sz w:val="20"/>
            <w:u w:val="single"/>
          </w:rPr>
          <w:t>May 12, 2026</w:t>
        </w:r>
      </w:hyperlink>
      <w:r>
        <w:rPr>
          <w:rFonts w:ascii="Times New Roman" w:hAnsi="Times New Roman"/>
          <w:color w:val="000000"/>
          <w:sz w:val="20"/>
        </w:rPr>
        <w:t>.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www.sec.gov or by accessing the Investors section of Apogee’s website at https://investors.apogeetherapeutics.com and the Investors section of AbbVie’s website at https://investors.abbvie.com.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Exhibit 99.1</w:t>
      </w:r>
    </w:p>
    <w:p>
      <w:pPr>
        <w:pStyle w:val="TextBody"/>
        <w:bidi w:val="0"/>
        <w:spacing w:before="0" w:after="0"/>
        <w:jc w:val="left"/>
        <w:rPr>
          <w:b/>
        </w:rPr>
      </w:pPr>
      <w:r>
        <w:rPr>
          <w:b/>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All Team Email</w:t>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facf3acc01474654985efd913f351abf"/>
      <w:bookmarkStart w:id="21" w:name="zfacf3acc01474654985efd913f351abf"/>
      <w:bookmarkEnd w:id="21"/>
    </w:p>
    <w:tbl>
      <w:tblPr>
        <w:tblW w:w="2275" w:type="dxa"/>
        <w:jc w:val="left"/>
        <w:tblInd w:w="0" w:type="dxa"/>
        <w:tblLayout w:type="fixed"/>
        <w:tblCellMar>
          <w:top w:w="0" w:type="dxa"/>
          <w:left w:w="0" w:type="dxa"/>
          <w:bottom w:w="0" w:type="dxa"/>
          <w:right w:w="0" w:type="dxa"/>
        </w:tblCellMar>
      </w:tblPr>
      <w:tblGrid>
        <w:gridCol w:w="395"/>
        <w:gridCol w:w="1880"/>
      </w:tblGrid>
      <w:tr>
        <w:trPr/>
        <w:tc>
          <w:tcPr>
            <w:tcW w:w="395" w:type="dxa"/>
            <w:tcBorders/>
            <w:vAlign w:val="center"/>
          </w:tcPr>
          <w:p>
            <w:pPr>
              <w:pStyle w:val="TableContents"/>
              <w:bidi w:val="0"/>
              <w:spacing w:before="0" w:after="0"/>
              <w:jc w:val="left"/>
              <w:rPr>
                <w:b/>
              </w:rPr>
            </w:pPr>
            <w:r>
              <w:rPr>
                <w:b/>
              </w:rPr>
              <w:t>To:</w:t>
            </w:r>
          </w:p>
        </w:tc>
        <w:tc>
          <w:tcPr>
            <w:tcW w:w="1880" w:type="dxa"/>
            <w:tcBorders/>
            <w:vAlign w:val="center"/>
          </w:tcPr>
          <w:p>
            <w:pPr>
              <w:pStyle w:val="TableContents"/>
              <w:bidi w:val="0"/>
              <w:spacing w:before="0" w:after="0"/>
              <w:jc w:val="left"/>
              <w:rPr/>
            </w:pPr>
            <w:r>
              <w:rPr/>
              <w:t>All Team Members</w:t>
            </w:r>
          </w:p>
        </w:tc>
      </w:tr>
    </w:tbl>
    <w:p>
      <w:pPr>
        <w:pStyle w:val="Normal"/>
        <w:bidi w:val="0"/>
        <w:spacing w:before="0" w:after="0"/>
        <w:jc w:val="left"/>
        <w:rPr>
          <w:sz w:val="4"/>
          <w:szCs w:val="4"/>
        </w:rPr>
      </w:pPr>
      <w:r>
        <w:rPr>
          <w:sz w:val="4"/>
          <w:szCs w:val="4"/>
        </w:rPr>
      </w:r>
      <w:bookmarkStart w:id="22" w:name="zb65a735bfb9a4590986feede47a98bce"/>
      <w:bookmarkStart w:id="23" w:name="zb65a735bfb9a4590986feede47a98bce"/>
      <w:bookmarkEnd w:id="23"/>
    </w:p>
    <w:tbl>
      <w:tblPr>
        <w:tblW w:w="2575" w:type="dxa"/>
        <w:jc w:val="left"/>
        <w:tblInd w:w="0" w:type="dxa"/>
        <w:tblLayout w:type="fixed"/>
        <w:tblCellMar>
          <w:top w:w="0" w:type="dxa"/>
          <w:left w:w="0" w:type="dxa"/>
          <w:bottom w:w="0" w:type="dxa"/>
          <w:right w:w="0" w:type="dxa"/>
        </w:tblCellMar>
      </w:tblPr>
      <w:tblGrid>
        <w:gridCol w:w="680"/>
        <w:gridCol w:w="1895"/>
      </w:tblGrid>
      <w:tr>
        <w:trPr/>
        <w:tc>
          <w:tcPr>
            <w:tcW w:w="680" w:type="dxa"/>
            <w:tcBorders/>
            <w:vAlign w:val="center"/>
          </w:tcPr>
          <w:p>
            <w:pPr>
              <w:pStyle w:val="TableContents"/>
              <w:bidi w:val="0"/>
              <w:spacing w:before="0" w:after="0"/>
              <w:jc w:val="left"/>
              <w:rPr>
                <w:b/>
              </w:rPr>
            </w:pPr>
            <w:r>
              <w:rPr>
                <w:b/>
              </w:rPr>
              <w:t>From:</w:t>
            </w:r>
          </w:p>
        </w:tc>
        <w:tc>
          <w:tcPr>
            <w:tcW w:w="1895" w:type="dxa"/>
            <w:tcBorders/>
            <w:vAlign w:val="center"/>
          </w:tcPr>
          <w:p>
            <w:pPr>
              <w:pStyle w:val="TableContents"/>
              <w:bidi w:val="0"/>
              <w:spacing w:before="0" w:after="0"/>
              <w:jc w:val="left"/>
              <w:rPr/>
            </w:pPr>
            <w:r>
              <w:rPr/>
              <w:t>Michael Henderson</w:t>
            </w:r>
          </w:p>
        </w:tc>
      </w:tr>
    </w:tbl>
    <w:p>
      <w:pPr>
        <w:pStyle w:val="Normal"/>
        <w:bidi w:val="0"/>
        <w:spacing w:before="0" w:after="0"/>
        <w:jc w:val="left"/>
        <w:rPr>
          <w:sz w:val="4"/>
          <w:szCs w:val="4"/>
        </w:rPr>
      </w:pPr>
      <w:r>
        <w:rPr>
          <w:sz w:val="4"/>
          <w:szCs w:val="4"/>
        </w:rPr>
      </w:r>
      <w:bookmarkStart w:id="24" w:name="zdc33468920fa4bc0b3f1b0ce3367e1a3"/>
      <w:bookmarkStart w:id="25" w:name="zdc33468920fa4bc0b3f1b0ce3367e1a3"/>
      <w:bookmarkEnd w:id="25"/>
    </w:p>
    <w:tbl>
      <w:tblPr>
        <w:tblW w:w="6580" w:type="dxa"/>
        <w:jc w:val="left"/>
        <w:tblInd w:w="0" w:type="dxa"/>
        <w:tblLayout w:type="fixed"/>
        <w:tblCellMar>
          <w:top w:w="0" w:type="dxa"/>
          <w:left w:w="0" w:type="dxa"/>
          <w:bottom w:w="0" w:type="dxa"/>
          <w:right w:w="0" w:type="dxa"/>
        </w:tblCellMar>
      </w:tblPr>
      <w:tblGrid>
        <w:gridCol w:w="860"/>
        <w:gridCol w:w="5720"/>
      </w:tblGrid>
      <w:tr>
        <w:trPr/>
        <w:tc>
          <w:tcPr>
            <w:tcW w:w="860" w:type="dxa"/>
            <w:tcBorders/>
            <w:vAlign w:val="center"/>
          </w:tcPr>
          <w:p>
            <w:pPr>
              <w:pStyle w:val="TableContents"/>
              <w:bidi w:val="0"/>
              <w:spacing w:before="0" w:after="0"/>
              <w:jc w:val="left"/>
              <w:rPr/>
            </w:pPr>
            <w:r>
              <w:rPr>
                <w:b/>
              </w:rPr>
              <w:t>Subject</w:t>
            </w:r>
            <w:r>
              <w:rPr/>
              <w:t>:</w:t>
            </w:r>
          </w:p>
        </w:tc>
        <w:tc>
          <w:tcPr>
            <w:tcW w:w="5720" w:type="dxa"/>
            <w:tcBorders/>
            <w:vAlign w:val="center"/>
          </w:tcPr>
          <w:p>
            <w:pPr>
              <w:pStyle w:val="TableContents"/>
              <w:bidi w:val="0"/>
              <w:spacing w:before="0" w:after="0"/>
              <w:jc w:val="left"/>
              <w:rPr/>
            </w:pPr>
            <w:r>
              <w:rPr/>
              <w:t>An Important Update on the Future of Apogee Therapeutics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A-Team,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 our founding, we have been guided by our vision to reshape the standard of care for people living with inflammatory and immunological conditions. Thanks to each of you, in just four years, we have built something extraordinary, creating a company well positioned to achieve that vision.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Just moments ago, we </w:t>
      </w:r>
      <w:r>
        <w:rPr>
          <w:rFonts w:ascii="Times New Roman" w:hAnsi="Times New Roman"/>
          <w:color w:val="000000"/>
          <w:sz w:val="20"/>
          <w:u w:val="single"/>
        </w:rPr>
        <w:t>announced</w:t>
      </w:r>
      <w:r>
        <w:rPr>
          <w:rFonts w:ascii="Times New Roman" w:hAnsi="Times New Roman"/>
          <w:color w:val="000000"/>
          <w:sz w:val="20"/>
        </w:rPr>
        <w:t xml:space="preserve"> [LINK] that Apogee Therapeutics is taking the next step in our journey. We have entered into an agreement to be acquired by AbbVie for $135.11 per share in cash. This transaction marks a significant milestone for us and underscores the strength of our differentiated portfolio, the compelling clinical data supporting zumilokibart and the tremendous progress we have made toward our Seven Summits this year. It also creates certain value for our shareholders based on the attractive financial terms of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we have advanced our programs through development, our decisions have remained grounded in a fundamental belief: the most important thing we can do is get zumi and the other therapies in our pipeline to as many patients as possible, as quickly as possible. Our commitment to that goal was the driving force behind our decision to enter into this agreement with AbbVie.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AbbVie is a global leader in immunology with extensive Phase 3 development and commercial capabilities. While we have an excellent foundation and the financial strength to move ahead independently, combining our portfolio with AbbVie’s scale, resources and experience will enable us to reach more patients around the world. I am confident this is the right way forward for Apogee and our stakeholders.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terms of what this means for you, today’s announcement is only the first step in the process to bring our companies together. Our mission remains the same and, for the overwhelming majority of you, it is business as usual. We should all continue to do what we do best: move with urgency, execute with excellence and deliver for patients.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Looking ahead, the transaction is expected to close in the third quarter of 2026, subject to customary closing conditions, including Apogee shareholder approval and receipt of regulatory approvals. Until then, Apogee and AbbVie remain separate companies and will continue to operate independently.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will have an All Team Call today at 9:00 a.m. PT / 12:00 p.m. ET to share more details. As always, please submit questions here. We know there will be many questions, and we will do our best to address them. We will learn more between now and close and will keep you informed as we move ahead. In the meantime, attached is a set of FAQs to answer some of the questions that are likely top-of-mind for you.</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Please take a moment today to reflect on what we have accomplished together. Building a company capable of taking this step with a partner like AbbVie happened because of you and our shared belief that people living with inflammatory and immunological conditions deserve far better than status quo. Thank you for believing in our mission and for refusing to stop at “good enough” in everything we do.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Michael Henderson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#OneTeamOneDream</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Confidential; for internal use only</w:t>
      </w:r>
    </w:p>
    <w:p>
      <w:pPr>
        <w:pStyle w:val="TextBody"/>
        <w:bidi w:val="0"/>
        <w:spacing w:before="0" w:after="0"/>
        <w:jc w:val="left"/>
        <w:rPr/>
      </w:pPr>
      <w:r>
        <w:rPr/>
      </w:r>
    </w:p>
    <w:p>
      <w:pPr>
        <w:pStyle w:val="TextBody"/>
        <w:bidi w:val="0"/>
        <w:spacing w:before="200" w:after="200"/>
        <w:jc w:val="right"/>
        <w:rPr>
          <w:rFonts w:ascii="Times New Roman" w:hAnsi="Times New Roman"/>
          <w:b/>
          <w:color w:val="000000"/>
          <w:sz w:val="16"/>
        </w:rPr>
      </w:pPr>
      <w:r>
        <w:rPr>
          <w:rFonts w:ascii="Times New Roman" w:hAnsi="Times New Roman"/>
          <w:b/>
          <w:color w:val="000000"/>
          <w:sz w:val="16"/>
        </w:rPr>
        <w:t>Page 1 of 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200" w:after="200"/>
        <w:jc w:val="right"/>
        <w:rPr>
          <w:rFonts w:ascii="Times New Roman" w:hAnsi="Times New Roman"/>
          <w:b/>
          <w:color w:val="000000"/>
          <w:sz w:val="16"/>
        </w:rPr>
      </w:pPr>
      <w:r>
        <w:rPr>
          <w:rFonts w:ascii="Times New Roman" w:hAnsi="Times New Roman"/>
          <w:b/>
          <w:color w:val="000000"/>
          <w:sz w:val="16"/>
        </w:rPr>
        <w:t>Page 2 of 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9">
        <w:r>
          <w:rPr>
            <w:rStyle w:val="InternetLink"/>
          </w:rPr>
          <w:t>April 24, 2026</w:t>
        </w:r>
      </w:hyperlink>
      <w:r>
        <w:rPr>
          <w:rFonts w:ascii="Times New Roman" w:hAnsi="Times New Roman"/>
          <w:color w:val="000000"/>
          <w:sz w:val="20"/>
        </w:rPr>
        <w:t xml:space="preserve">, and in Apogee’s Current Reports on Form 8-K, filed with the SEC on </w:t>
      </w:r>
      <w:hyperlink r:id="rId10">
        <w:r>
          <w:rPr>
            <w:rStyle w:val="InternetLink"/>
          </w:rPr>
          <w:t>April 24, 2026</w:t>
        </w:r>
      </w:hyperlink>
      <w:r>
        <w:rPr>
          <w:rFonts w:ascii="Times New Roman" w:hAnsi="Times New Roman"/>
          <w:color w:val="000000"/>
          <w:sz w:val="20"/>
        </w:rPr>
        <w:t xml:space="preserve"> and </w:t>
      </w:r>
      <w:hyperlink r:id="rId11">
        <w:r>
          <w:rPr>
            <w:rStyle w:val="InternetLink"/>
          </w:rPr>
          <w:t>June 12, 2026</w:t>
        </w:r>
      </w:hyperlink>
      <w:r>
        <w:rPr>
          <w:rFonts w:ascii="Times New Roman" w:hAnsi="Times New Roman"/>
          <w:color w:val="000000"/>
          <w:sz w:val="20"/>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12">
        <w:r>
          <w:rPr>
            <w:rStyle w:val="InternetLink"/>
          </w:rPr>
          <w:t>March 23, 2026</w:t>
        </w:r>
      </w:hyperlink>
      <w:r>
        <w:rPr>
          <w:rFonts w:ascii="Times New Roman" w:hAnsi="Times New Roman"/>
          <w:color w:val="000000"/>
          <w:sz w:val="20"/>
        </w:rPr>
        <w:t xml:space="preserve">, and in AbbVie’s Current Report on Form 8-K, filed with the SEC on </w:t>
      </w:r>
      <w:hyperlink r:id="rId13">
        <w:r>
          <w:rPr>
            <w:rStyle w:val="InternetLink"/>
          </w:rPr>
          <w:t>May 12, 2026</w:t>
        </w:r>
      </w:hyperlink>
      <w:r>
        <w:rPr>
          <w:rFonts w:ascii="Times New Roman" w:hAnsi="Times New Roman"/>
          <w:color w:val="000000"/>
          <w:sz w:val="20"/>
        </w:rPr>
        <w:t xml:space="preserve">.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r>
        <w:rPr>
          <w:rFonts w:ascii="Times New Roman" w:hAnsi="Times New Roman"/>
          <w:color w:val="000000"/>
          <w:sz w:val="20"/>
        </w:rPr>
        <w:t xml:space="preserve"> and the Investors section of AbbVie’s website at </w:t>
      </w:r>
      <w:r>
        <w:rPr>
          <w:rFonts w:ascii="Times New Roman" w:hAnsi="Times New Roman"/>
          <w:color w:val="000000"/>
          <w:sz w:val="20"/>
          <w:u w:val="single"/>
        </w:rPr>
        <w:t>https://investors.abbvie.com</w:t>
      </w:r>
      <w:r>
        <w:rPr>
          <w:rFonts w:ascii="Times New Roman" w:hAnsi="Times New Roman"/>
          <w:color w:val="000000"/>
          <w:sz w:val="20"/>
        </w:rPr>
        <w:t>.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pStyle w:val="TextBody"/>
        <w:bidi w:val="0"/>
        <w:spacing w:before="0" w:after="0"/>
        <w:jc w:val="left"/>
        <w:rPr/>
      </w:pPr>
      <w:r>
        <w:rPr/>
      </w:r>
    </w:p>
    <w:p>
      <w:pPr>
        <w:pStyle w:val="TextBody"/>
        <w:bidi w:val="0"/>
        <w:spacing w:before="200" w:after="200"/>
        <w:jc w:val="right"/>
        <w:rPr>
          <w:rFonts w:ascii="Times New Roman" w:hAnsi="Times New Roman"/>
          <w:b/>
          <w:color w:val="000000"/>
          <w:sz w:val="16"/>
        </w:rPr>
      </w:pPr>
      <w:r>
        <w:rPr>
          <w:rFonts w:ascii="Times New Roman" w:hAnsi="Times New Roman"/>
          <w:b/>
          <w:color w:val="000000"/>
          <w:sz w:val="16"/>
        </w:rPr>
        <w:t>Page 3 of 3</w:t>
      </w:r>
    </w:p>
    <w:p>
      <w:pPr>
        <w:pStyle w:val="HorizontalLine"/>
        <w:pBdr>
          <w:bottom w:val="single" w:sz="12" w:space="0" w:color="808080"/>
        </w:pBdr>
        <w:bidi w:val="0"/>
        <w:spacing w:before="200" w:after="200"/>
        <w:jc w:val="left"/>
        <w:rPr/>
      </w:pPr>
      <w:r>
        <w:rPr/>
      </w:r>
    </w:p>
    <w:p>
      <w:pPr>
        <w:pStyle w:val="TextBody"/>
        <w:bidi w:val="0"/>
        <w:spacing w:before="0" w:after="0"/>
        <w:ind w:left="360" w:right="0" w:hanging="0"/>
        <w:jc w:val="righ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Exhibit 99.2</w:t>
      </w:r>
    </w:p>
    <w:p>
      <w:pPr>
        <w:pStyle w:val="TextBody"/>
        <w:bidi w:val="0"/>
        <w:spacing w:before="0" w:after="0"/>
        <w:ind w:left="360" w:right="0" w:hanging="0"/>
        <w:jc w:val="right"/>
        <w:rPr>
          <w:b w:val="false"/>
          <w:i w:val="false"/>
          <w:caps w:val="false"/>
          <w:smallCaps w:val="false"/>
          <w:color w:val="000000"/>
          <w:spacing w:val="0"/>
          <w:shd w:fill="FFFFFF" w:val="clear"/>
        </w:rPr>
      </w:pPr>
      <w:r>
        <w:rPr>
          <w:b w:val="false"/>
          <w:i w:val="false"/>
          <w:caps w:val="false"/>
          <w:smallCaps w:val="false"/>
          <w:color w:val="000000"/>
          <w:spacing w:val="0"/>
          <w:shd w:fill="FFFFFF" w:val="clear"/>
        </w:rPr>
      </w:r>
    </w:p>
    <w:p>
      <w:pPr>
        <w:pStyle w:val="TextBody"/>
        <w:bidi w:val="0"/>
        <w:spacing w:before="0" w:after="0"/>
        <w:ind w:left="360" w:right="0" w:hanging="360"/>
        <w:jc w:val="center"/>
        <w:rPr>
          <w:color w:val="000000"/>
        </w:rPr>
      </w:pPr>
      <w:r>
        <w:rPr>
          <w:color w:val="000000"/>
        </w:rPr>
        <w:drawing>
          <wp:inline distT="0" distB="0" distL="0" distR="0">
            <wp:extent cx="3514725"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4"/>
                    <a:stretch>
                      <a:fillRect/>
                    </a:stretch>
                  </pic:blipFill>
                  <pic:spPr bwMode="auto">
                    <a:xfrm>
                      <a:off x="0" y="0"/>
                      <a:ext cx="3514725" cy="1028700"/>
                    </a:xfrm>
                    <a:prstGeom prst="rect">
                      <a:avLst/>
                    </a:prstGeom>
                  </pic:spPr>
                </pic:pic>
              </a:graphicData>
            </a:graphic>
          </wp:inline>
        </w:drawing>
      </w:r>
    </w:p>
    <w:p>
      <w:pPr>
        <w:pStyle w:val="TextBody"/>
        <w:bidi w:val="0"/>
        <w:spacing w:before="0" w:after="0"/>
        <w:ind w:left="360" w:right="0" w:hanging="360"/>
        <w:jc w:val="left"/>
        <w:rPr>
          <w:b/>
        </w:rPr>
      </w:pPr>
      <w:r>
        <w:rPr>
          <w:b/>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Employee FAQ</w:t>
      </w:r>
    </w:p>
    <w:p>
      <w:pPr>
        <w:pStyle w:val="HorizontalLine"/>
        <w:pBdr>
          <w:bottom w:val="single" w:sz="12" w:space="0" w:color="808080"/>
        </w:pBdr>
        <w:bidi w:val="0"/>
        <w:jc w:val="left"/>
        <w:rPr/>
      </w:pPr>
      <w:r>
        <w:rPr/>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f97bda21a94a4720ae04c0c3f351fa03"/>
      <w:bookmarkStart w:id="27" w:name="zf97bda21a94a4720ae04c0c3f351fa03"/>
      <w:bookmarkEnd w:id="27"/>
    </w:p>
    <w:tbl>
      <w:tblPr>
        <w:tblW w:w="6115" w:type="dxa"/>
        <w:jc w:val="left"/>
        <w:tblInd w:w="0" w:type="dxa"/>
        <w:tblLayout w:type="fixed"/>
        <w:tblCellMar>
          <w:top w:w="0" w:type="dxa"/>
          <w:left w:w="0" w:type="dxa"/>
          <w:bottom w:w="0" w:type="dxa"/>
          <w:right w:w="0" w:type="dxa"/>
        </w:tblCellMar>
      </w:tblPr>
      <w:tblGrid>
        <w:gridCol w:w="215"/>
        <w:gridCol w:w="5900"/>
      </w:tblGrid>
      <w:tr>
        <w:trPr/>
        <w:tc>
          <w:tcPr>
            <w:tcW w:w="215" w:type="dxa"/>
            <w:tcBorders/>
            <w:vAlign w:val="center"/>
          </w:tcPr>
          <w:p>
            <w:pPr>
              <w:pStyle w:val="TableContents"/>
              <w:bidi w:val="0"/>
              <w:spacing w:before="0" w:after="283"/>
              <w:jc w:val="left"/>
              <w:rPr>
                <w:b/>
              </w:rPr>
            </w:pPr>
            <w:r>
              <w:rPr>
                <w:b/>
              </w:rPr>
              <w:t>1.</w:t>
            </w:r>
          </w:p>
        </w:tc>
        <w:tc>
          <w:tcPr>
            <w:tcW w:w="5900" w:type="dxa"/>
            <w:tcBorders/>
            <w:vAlign w:val="center"/>
          </w:tcPr>
          <w:p>
            <w:pPr>
              <w:pStyle w:val="TableContents"/>
              <w:bidi w:val="0"/>
              <w:spacing w:before="0" w:after="0"/>
              <w:jc w:val="left"/>
              <w:rPr>
                <w:b/>
              </w:rPr>
            </w:pPr>
            <w:r>
              <w:rPr>
                <w:b/>
              </w:rPr>
              <w:t>What was announced? What are the benefits for Apogee?</w:t>
            </w:r>
          </w:p>
        </w:tc>
      </w:tr>
    </w:tbl>
    <w:p>
      <w:pPr>
        <w:pStyle w:val="Normal"/>
        <w:bidi w:val="0"/>
        <w:spacing w:before="0" w:after="0"/>
        <w:jc w:val="left"/>
        <w:rPr>
          <w:sz w:val="4"/>
          <w:szCs w:val="4"/>
        </w:rPr>
      </w:pPr>
      <w:r>
        <w:rPr>
          <w:sz w:val="4"/>
          <w:szCs w:val="4"/>
        </w:rPr>
      </w:r>
      <w:bookmarkStart w:id="28" w:name="ze483ac912b3c4f88be409b8674874e53"/>
      <w:bookmarkStart w:id="29" w:name="ze483ac912b3c4f88be409b8674874e53"/>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On Monday June 22, we announced that we have entered into an agreement to be acquired for $135.11 per share in cash.</w:t>
            </w:r>
          </w:p>
        </w:tc>
      </w:tr>
    </w:tbl>
    <w:p>
      <w:pPr>
        <w:pStyle w:val="Normal"/>
        <w:bidi w:val="0"/>
        <w:spacing w:before="0" w:after="0"/>
        <w:jc w:val="left"/>
        <w:rPr>
          <w:sz w:val="4"/>
          <w:szCs w:val="4"/>
        </w:rPr>
      </w:pPr>
      <w:r>
        <w:rPr>
          <w:sz w:val="4"/>
          <w:szCs w:val="4"/>
        </w:rPr>
      </w:r>
      <w:bookmarkStart w:id="30" w:name="z34b8fc4f42d646b08f52417b007b50aa"/>
      <w:bookmarkStart w:id="31" w:name="z34b8fc4f42d646b08f52417b007b50aa"/>
      <w:bookmarkEnd w:id="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This transaction marks a significant milestone for us and underscores the strength of our differentiated portfolio and the compelling clinical data supporting zumilokibart. It also creates certain value for our shareholders based on the attractive financial terms of the transaction.</w:t>
            </w:r>
          </w:p>
        </w:tc>
      </w:tr>
    </w:tbl>
    <w:p>
      <w:pPr>
        <w:pStyle w:val="Normal"/>
        <w:bidi w:val="0"/>
        <w:spacing w:before="0" w:after="0"/>
        <w:jc w:val="left"/>
        <w:rPr>
          <w:sz w:val="4"/>
          <w:szCs w:val="4"/>
        </w:rPr>
      </w:pPr>
      <w:r>
        <w:rPr>
          <w:sz w:val="4"/>
          <w:szCs w:val="4"/>
        </w:rPr>
      </w:r>
      <w:bookmarkStart w:id="32" w:name="z864eef59fba54575a7d29a93394babc5"/>
      <w:bookmarkStart w:id="33" w:name="z864eef59fba54575a7d29a93394babc5"/>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we have advanced our programs through development, our decisions have remained grounded in a fundamental belief: the most important thing we can do is get zumi and the other therapies in our pipeline to as many patients as possible, as quickly as possible. Our commitment to that goal was the driving force behind our decision to enter into this agreement with AbbVie.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02d8c3ffb11d47939021fa5380591774"/>
      <w:bookmarkStart w:id="35" w:name="z02d8c3ffb11d47939021fa5380591774"/>
      <w:bookmarkEnd w:id="35"/>
    </w:p>
    <w:tbl>
      <w:tblPr>
        <w:tblW w:w="5965" w:type="dxa"/>
        <w:jc w:val="left"/>
        <w:tblInd w:w="0" w:type="dxa"/>
        <w:tblLayout w:type="fixed"/>
        <w:tblCellMar>
          <w:top w:w="0" w:type="dxa"/>
          <w:left w:w="0" w:type="dxa"/>
          <w:bottom w:w="0" w:type="dxa"/>
          <w:right w:w="0" w:type="dxa"/>
        </w:tblCellMar>
      </w:tblPr>
      <w:tblGrid>
        <w:gridCol w:w="215"/>
        <w:gridCol w:w="5750"/>
      </w:tblGrid>
      <w:tr>
        <w:trPr/>
        <w:tc>
          <w:tcPr>
            <w:tcW w:w="215" w:type="dxa"/>
            <w:tcBorders/>
            <w:vAlign w:val="center"/>
          </w:tcPr>
          <w:p>
            <w:pPr>
              <w:pStyle w:val="TableContents"/>
              <w:bidi w:val="0"/>
              <w:spacing w:before="0" w:after="283"/>
              <w:jc w:val="left"/>
              <w:rPr>
                <w:b/>
              </w:rPr>
            </w:pPr>
            <w:r>
              <w:rPr>
                <w:b/>
              </w:rPr>
              <w:t>2.</w:t>
            </w:r>
          </w:p>
        </w:tc>
        <w:tc>
          <w:tcPr>
            <w:tcW w:w="5750" w:type="dxa"/>
            <w:tcBorders/>
            <w:vAlign w:val="center"/>
          </w:tcPr>
          <w:p>
            <w:pPr>
              <w:pStyle w:val="TableContents"/>
              <w:bidi w:val="0"/>
              <w:spacing w:before="0" w:after="0"/>
              <w:jc w:val="left"/>
              <w:rPr>
                <w:b/>
              </w:rPr>
            </w:pPr>
            <w:r>
              <w:rPr>
                <w:b/>
              </w:rPr>
              <w:t>Who is AbbVie? Why is it the right partner for Apogee?</w:t>
            </w:r>
          </w:p>
        </w:tc>
      </w:tr>
    </w:tbl>
    <w:p>
      <w:pPr>
        <w:pStyle w:val="Normal"/>
        <w:bidi w:val="0"/>
        <w:spacing w:before="0" w:after="0"/>
        <w:jc w:val="left"/>
        <w:rPr>
          <w:sz w:val="4"/>
          <w:szCs w:val="4"/>
        </w:rPr>
      </w:pPr>
      <w:r>
        <w:rPr>
          <w:sz w:val="4"/>
          <w:szCs w:val="4"/>
        </w:rPr>
      </w:r>
      <w:bookmarkStart w:id="36" w:name="z923d3de4073942e8a9f7e26c6d67d160"/>
      <w:bookmarkStart w:id="37" w:name="z923d3de4073942e8a9f7e26c6d67d160"/>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AbbVie is a global leader in immunology with extensive Phase 3 development and commercial capabilities. It has a proven track record of bringing multiple I&amp;I therapies to millions of people around the world.</w:t>
            </w:r>
          </w:p>
        </w:tc>
      </w:tr>
    </w:tbl>
    <w:p>
      <w:pPr>
        <w:pStyle w:val="Normal"/>
        <w:bidi w:val="0"/>
        <w:spacing w:before="0" w:after="0"/>
        <w:jc w:val="left"/>
        <w:rPr>
          <w:sz w:val="4"/>
          <w:szCs w:val="4"/>
        </w:rPr>
      </w:pPr>
      <w:r>
        <w:rPr>
          <w:sz w:val="4"/>
          <w:szCs w:val="4"/>
        </w:rPr>
      </w:r>
      <w:bookmarkStart w:id="38" w:name="z80caa479feda48219d230d96112918f1"/>
      <w:bookmarkStart w:id="39" w:name="z80caa479feda48219d230d96112918f1"/>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Combining our portfolio with AbbVie’s scale, resources and experience will enable us to reach more patients around the globe.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114806a644e048e6b050cb2c0ebb8fcf"/>
      <w:bookmarkStart w:id="41" w:name="z114806a644e048e6b050cb2c0ebb8fcf"/>
      <w:bookmarkEnd w:id="41"/>
    </w:p>
    <w:tbl>
      <w:tblPr>
        <w:tblW w:w="4510" w:type="dxa"/>
        <w:jc w:val="left"/>
        <w:tblInd w:w="0" w:type="dxa"/>
        <w:tblLayout w:type="fixed"/>
        <w:tblCellMar>
          <w:top w:w="0" w:type="dxa"/>
          <w:left w:w="0" w:type="dxa"/>
          <w:bottom w:w="0" w:type="dxa"/>
          <w:right w:w="0" w:type="dxa"/>
        </w:tblCellMar>
      </w:tblPr>
      <w:tblGrid>
        <w:gridCol w:w="215"/>
        <w:gridCol w:w="4295"/>
      </w:tblGrid>
      <w:tr>
        <w:trPr/>
        <w:tc>
          <w:tcPr>
            <w:tcW w:w="215" w:type="dxa"/>
            <w:tcBorders/>
            <w:vAlign w:val="center"/>
          </w:tcPr>
          <w:p>
            <w:pPr>
              <w:pStyle w:val="TableContents"/>
              <w:bidi w:val="0"/>
              <w:spacing w:before="0" w:after="283"/>
              <w:jc w:val="left"/>
              <w:rPr>
                <w:b/>
              </w:rPr>
            </w:pPr>
            <w:r>
              <w:rPr>
                <w:b/>
              </w:rPr>
              <w:t>3.</w:t>
            </w:r>
          </w:p>
        </w:tc>
        <w:tc>
          <w:tcPr>
            <w:tcW w:w="4295" w:type="dxa"/>
            <w:tcBorders/>
            <w:vAlign w:val="center"/>
          </w:tcPr>
          <w:p>
            <w:pPr>
              <w:pStyle w:val="TableContents"/>
              <w:bidi w:val="0"/>
              <w:spacing w:before="0" w:after="0"/>
              <w:jc w:val="left"/>
              <w:rPr>
                <w:b/>
              </w:rPr>
            </w:pPr>
            <w:r>
              <w:rPr>
                <w:b/>
              </w:rPr>
              <w:t>When is the transaction expected to close?</w:t>
            </w:r>
          </w:p>
        </w:tc>
      </w:tr>
    </w:tbl>
    <w:p>
      <w:pPr>
        <w:pStyle w:val="Normal"/>
        <w:bidi w:val="0"/>
        <w:spacing w:before="0" w:after="0"/>
        <w:jc w:val="left"/>
        <w:rPr>
          <w:sz w:val="4"/>
          <w:szCs w:val="4"/>
        </w:rPr>
      </w:pPr>
      <w:r>
        <w:rPr>
          <w:sz w:val="4"/>
          <w:szCs w:val="4"/>
        </w:rPr>
      </w:r>
      <w:bookmarkStart w:id="42" w:name="z97ddc37124ab46049001f54552dd4f66"/>
      <w:bookmarkStart w:id="43" w:name="z97ddc37124ab46049001f54552dd4f66"/>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expect the transaction to close in the third quarter of 2026, subject to customary closing conditions, including Apogee shareholder approval and receipt of regulatory approvals.</w:t>
            </w:r>
          </w:p>
        </w:tc>
      </w:tr>
    </w:tbl>
    <w:p>
      <w:pPr>
        <w:pStyle w:val="Normal"/>
        <w:bidi w:val="0"/>
        <w:spacing w:before="0" w:after="0"/>
        <w:jc w:val="left"/>
        <w:rPr>
          <w:sz w:val="4"/>
          <w:szCs w:val="4"/>
        </w:rPr>
      </w:pPr>
      <w:r>
        <w:rPr>
          <w:sz w:val="4"/>
          <w:szCs w:val="4"/>
        </w:rPr>
      </w:r>
      <w:bookmarkStart w:id="44" w:name="z3e114c3d3d9f449298dea6ff50d89ce7"/>
      <w:bookmarkStart w:id="45" w:name="z3e114c3d3d9f449298dea6ff50d89ce7"/>
      <w:bookmarkEnd w:id="45"/>
    </w:p>
    <w:tbl>
      <w:tblPr>
        <w:tblW w:w="7023" w:type="dxa"/>
        <w:jc w:val="left"/>
        <w:tblInd w:w="0" w:type="dxa"/>
        <w:tblLayout w:type="fixed"/>
        <w:tblCellMar>
          <w:top w:w="0" w:type="dxa"/>
          <w:left w:w="0" w:type="dxa"/>
          <w:bottom w:w="0" w:type="dxa"/>
          <w:right w:w="0" w:type="dxa"/>
        </w:tblCellMar>
      </w:tblPr>
      <w:tblGrid>
        <w:gridCol w:w="38"/>
        <w:gridCol w:w="110"/>
        <w:gridCol w:w="6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875" w:type="dxa"/>
            <w:tcBorders/>
            <w:vAlign w:val="center"/>
          </w:tcPr>
          <w:p>
            <w:pPr>
              <w:pStyle w:val="TableContents"/>
              <w:bidi w:val="0"/>
              <w:spacing w:before="0" w:after="0"/>
              <w:jc w:val="left"/>
              <w:rPr/>
            </w:pPr>
            <w:r>
              <w:rPr/>
              <w:t>Until then, Apogee will continue to operate as an independent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c4e89a428d7244079c59e45182ecb8fb"/>
      <w:bookmarkStart w:id="47" w:name="zc4e89a428d7244079c59e45182ecb8fb"/>
      <w:bookmarkEnd w:id="47"/>
    </w:p>
    <w:tbl>
      <w:tblPr>
        <w:tblW w:w="7375" w:type="dxa"/>
        <w:jc w:val="left"/>
        <w:tblInd w:w="0" w:type="dxa"/>
        <w:tblLayout w:type="fixed"/>
        <w:tblCellMar>
          <w:top w:w="0" w:type="dxa"/>
          <w:left w:w="0" w:type="dxa"/>
          <w:bottom w:w="0" w:type="dxa"/>
          <w:right w:w="0" w:type="dxa"/>
        </w:tblCellMar>
      </w:tblPr>
      <w:tblGrid>
        <w:gridCol w:w="215"/>
        <w:gridCol w:w="7160"/>
      </w:tblGrid>
      <w:tr>
        <w:trPr/>
        <w:tc>
          <w:tcPr>
            <w:tcW w:w="215" w:type="dxa"/>
            <w:tcBorders/>
            <w:vAlign w:val="center"/>
          </w:tcPr>
          <w:p>
            <w:pPr>
              <w:pStyle w:val="TableContents"/>
              <w:bidi w:val="0"/>
              <w:spacing w:before="0" w:after="283"/>
              <w:jc w:val="left"/>
              <w:rPr>
                <w:b/>
              </w:rPr>
            </w:pPr>
            <w:r>
              <w:rPr>
                <w:b/>
              </w:rPr>
              <w:t>4.</w:t>
            </w:r>
          </w:p>
        </w:tc>
        <w:tc>
          <w:tcPr>
            <w:tcW w:w="7160" w:type="dxa"/>
            <w:tcBorders/>
            <w:vAlign w:val="center"/>
          </w:tcPr>
          <w:p>
            <w:pPr>
              <w:pStyle w:val="TableContents"/>
              <w:bidi w:val="0"/>
              <w:spacing w:before="0" w:after="0"/>
              <w:jc w:val="left"/>
              <w:rPr>
                <w:b/>
              </w:rPr>
            </w:pPr>
            <w:r>
              <w:rPr>
                <w:b/>
              </w:rPr>
              <w:t>What does this mean for Apogee’s ongoing and planned clinical trials?</w:t>
            </w:r>
          </w:p>
        </w:tc>
      </w:tr>
    </w:tbl>
    <w:p>
      <w:pPr>
        <w:pStyle w:val="Normal"/>
        <w:bidi w:val="0"/>
        <w:spacing w:before="0" w:after="0"/>
        <w:jc w:val="left"/>
        <w:rPr>
          <w:sz w:val="4"/>
          <w:szCs w:val="4"/>
        </w:rPr>
      </w:pPr>
      <w:r>
        <w:rPr>
          <w:sz w:val="4"/>
          <w:szCs w:val="4"/>
        </w:rPr>
      </w:r>
      <w:bookmarkStart w:id="48" w:name="zafa70996270e44dc8aad23a1540f0500"/>
      <w:bookmarkStart w:id="49" w:name="zafa70996270e44dc8aad23a1540f0500"/>
      <w:bookmarkEnd w:id="4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There are no planned changes to our programs at this time. Between now and close, we remain an independent company and will continue to focus on driving our clinical development efforts forward.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de48923784f14c549993e938c96994da"/>
      <w:bookmarkStart w:id="51" w:name="zde48923784f14c549993e938c96994da"/>
      <w:bookmarkEnd w:id="51"/>
    </w:p>
    <w:tbl>
      <w:tblPr>
        <w:tblW w:w="6820" w:type="dxa"/>
        <w:jc w:val="left"/>
        <w:tblInd w:w="0" w:type="dxa"/>
        <w:tblLayout w:type="fixed"/>
        <w:tblCellMar>
          <w:top w:w="0" w:type="dxa"/>
          <w:left w:w="0" w:type="dxa"/>
          <w:bottom w:w="0" w:type="dxa"/>
          <w:right w:w="0" w:type="dxa"/>
        </w:tblCellMar>
      </w:tblPr>
      <w:tblGrid>
        <w:gridCol w:w="215"/>
        <w:gridCol w:w="6605"/>
      </w:tblGrid>
      <w:tr>
        <w:trPr/>
        <w:tc>
          <w:tcPr>
            <w:tcW w:w="215" w:type="dxa"/>
            <w:tcBorders/>
            <w:vAlign w:val="center"/>
          </w:tcPr>
          <w:p>
            <w:pPr>
              <w:pStyle w:val="TableContents"/>
              <w:bidi w:val="0"/>
              <w:spacing w:before="0" w:after="283"/>
              <w:jc w:val="left"/>
              <w:rPr>
                <w:b/>
              </w:rPr>
            </w:pPr>
            <w:r>
              <w:rPr>
                <w:b/>
              </w:rPr>
              <w:t>5.</w:t>
            </w:r>
          </w:p>
        </w:tc>
        <w:tc>
          <w:tcPr>
            <w:tcW w:w="6605" w:type="dxa"/>
            <w:tcBorders/>
            <w:vAlign w:val="center"/>
          </w:tcPr>
          <w:p>
            <w:pPr>
              <w:pStyle w:val="TableContents"/>
              <w:bidi w:val="0"/>
              <w:spacing w:before="0" w:after="0"/>
              <w:jc w:val="left"/>
              <w:rPr>
                <w:b/>
              </w:rPr>
            </w:pPr>
            <w:r>
              <w:rPr>
                <w:b/>
              </w:rPr>
              <w:t>Does this impact the timeline for zumilokibart Phase 3 AD trials?</w:t>
            </w:r>
          </w:p>
        </w:tc>
      </w:tr>
    </w:tbl>
    <w:p>
      <w:pPr>
        <w:pStyle w:val="Normal"/>
        <w:bidi w:val="0"/>
        <w:spacing w:before="0" w:after="0"/>
        <w:jc w:val="left"/>
        <w:rPr>
          <w:sz w:val="4"/>
          <w:szCs w:val="4"/>
        </w:rPr>
      </w:pPr>
      <w:r>
        <w:rPr>
          <w:sz w:val="4"/>
          <w:szCs w:val="4"/>
        </w:rPr>
      </w:r>
      <w:bookmarkStart w:id="52" w:name="z19734f943e7f40429dbb6721c1457e24"/>
      <w:bookmarkStart w:id="53" w:name="z19734f943e7f40429dbb6721c1457e24"/>
      <w:bookmarkEnd w:id="53"/>
    </w:p>
    <w:tbl>
      <w:tblPr>
        <w:tblW w:w="8988" w:type="dxa"/>
        <w:jc w:val="left"/>
        <w:tblInd w:w="0" w:type="dxa"/>
        <w:tblLayout w:type="fixed"/>
        <w:tblCellMar>
          <w:top w:w="0" w:type="dxa"/>
          <w:left w:w="0" w:type="dxa"/>
          <w:bottom w:w="0" w:type="dxa"/>
          <w:right w:w="0" w:type="dxa"/>
        </w:tblCellMar>
      </w:tblPr>
      <w:tblGrid>
        <w:gridCol w:w="38"/>
        <w:gridCol w:w="110"/>
        <w:gridCol w:w="8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0"/>
              <w:jc w:val="left"/>
              <w:rPr/>
            </w:pPr>
            <w:r>
              <w:rPr/>
              <w:t>No. We are continuing to push hard to start our zumilokibart Phase 3 AD trials later this 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7be03b17853f4466b93cdc7dd8438024"/>
      <w:bookmarkStart w:id="55" w:name="z7be03b17853f4466b93cdc7dd8438024"/>
      <w:bookmarkEnd w:id="55"/>
    </w:p>
    <w:tbl>
      <w:tblPr>
        <w:tblW w:w="9505" w:type="dxa"/>
        <w:jc w:val="left"/>
        <w:tblInd w:w="0" w:type="dxa"/>
        <w:tblLayout w:type="fixed"/>
        <w:tblCellMar>
          <w:top w:w="0" w:type="dxa"/>
          <w:left w:w="0" w:type="dxa"/>
          <w:bottom w:w="0" w:type="dxa"/>
          <w:right w:w="0" w:type="dxa"/>
        </w:tblCellMar>
      </w:tblPr>
      <w:tblGrid>
        <w:gridCol w:w="215"/>
        <w:gridCol w:w="9290"/>
      </w:tblGrid>
      <w:tr>
        <w:trPr/>
        <w:tc>
          <w:tcPr>
            <w:tcW w:w="215" w:type="dxa"/>
            <w:tcBorders/>
            <w:vAlign w:val="center"/>
          </w:tcPr>
          <w:p>
            <w:pPr>
              <w:pStyle w:val="TableContents"/>
              <w:bidi w:val="0"/>
              <w:spacing w:before="0" w:after="283"/>
              <w:jc w:val="left"/>
              <w:rPr>
                <w:b/>
              </w:rPr>
            </w:pPr>
            <w:r>
              <w:rPr>
                <w:b/>
              </w:rPr>
              <w:t>6.</w:t>
            </w:r>
          </w:p>
        </w:tc>
        <w:tc>
          <w:tcPr>
            <w:tcW w:w="9290" w:type="dxa"/>
            <w:tcBorders/>
            <w:vAlign w:val="center"/>
          </w:tcPr>
          <w:p>
            <w:pPr>
              <w:pStyle w:val="TableContents"/>
              <w:bidi w:val="0"/>
              <w:spacing w:before="0" w:after="0"/>
              <w:jc w:val="left"/>
              <w:rPr>
                <w:b/>
              </w:rPr>
            </w:pPr>
            <w:r>
              <w:rPr>
                <w:b/>
              </w:rPr>
              <w:t>What does this mean for me and my team? What should we expect between now and close?</w:t>
            </w:r>
          </w:p>
        </w:tc>
      </w:tr>
    </w:tbl>
    <w:p>
      <w:pPr>
        <w:pStyle w:val="Normal"/>
        <w:bidi w:val="0"/>
        <w:spacing w:before="0" w:after="0"/>
        <w:jc w:val="left"/>
        <w:rPr>
          <w:sz w:val="4"/>
          <w:szCs w:val="4"/>
        </w:rPr>
      </w:pPr>
      <w:r>
        <w:rPr>
          <w:sz w:val="4"/>
          <w:szCs w:val="4"/>
        </w:rPr>
      </w:r>
      <w:bookmarkStart w:id="56" w:name="za26036fcd0b44f5aa94cb7243eaab53a"/>
      <w:bookmarkStart w:id="57" w:name="za26036fcd0b44f5aa94cb7243eaab53a"/>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expect the transaction to close in the third quarter of 2026, subject to customary closing conditions, including Apogee shareholder approval and receipt of regulatory approvals.</w:t>
            </w:r>
          </w:p>
        </w:tc>
      </w:tr>
    </w:tbl>
    <w:p>
      <w:pPr>
        <w:pStyle w:val="Normal"/>
        <w:bidi w:val="0"/>
        <w:spacing w:before="0" w:after="0"/>
        <w:jc w:val="left"/>
        <w:rPr>
          <w:sz w:val="4"/>
          <w:szCs w:val="4"/>
        </w:rPr>
      </w:pPr>
      <w:r>
        <w:rPr>
          <w:sz w:val="4"/>
          <w:szCs w:val="4"/>
        </w:rPr>
      </w:r>
      <w:bookmarkStart w:id="58" w:name="z7a5621c841374e63b2444827717b3b54"/>
      <w:bookmarkStart w:id="59" w:name="z7a5621c841374e63b2444827717b3b54"/>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Until then, Apogee will continue to operate as an independent company and, with the exception of those working on the integration planning, it remains business as usual.</w:t>
            </w:r>
          </w:p>
        </w:tc>
      </w:tr>
    </w:tbl>
    <w:p>
      <w:pPr>
        <w:pStyle w:val="Normal"/>
        <w:bidi w:val="0"/>
        <w:spacing w:before="0" w:after="0"/>
        <w:jc w:val="left"/>
        <w:rPr>
          <w:sz w:val="4"/>
          <w:szCs w:val="4"/>
        </w:rPr>
      </w:pPr>
      <w:r>
        <w:rPr>
          <w:sz w:val="4"/>
          <w:szCs w:val="4"/>
        </w:rPr>
      </w:r>
      <w:bookmarkStart w:id="60" w:name="z22b13d82fb26407486954ce9c8f2e237"/>
      <w:bookmarkStart w:id="61" w:name="z22b13d82fb26407486954ce9c8f2e237"/>
      <w:bookmarkEnd w:id="6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mission remains the same, and we are counting on you to continue doing what we do best: moving with urgency, executing with excellence and delivering for patients.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e8e7d463bd5c4865b9ab9401ef6cc8bc"/>
      <w:bookmarkStart w:id="63" w:name="ze8e7d463bd5c4865b9ab9401ef6cc8bc"/>
      <w:bookmarkEnd w:id="63"/>
    </w:p>
    <w:tbl>
      <w:tblPr>
        <w:tblW w:w="8800" w:type="dxa"/>
        <w:jc w:val="left"/>
        <w:tblInd w:w="0" w:type="dxa"/>
        <w:tblLayout w:type="fixed"/>
        <w:tblCellMar>
          <w:top w:w="0" w:type="dxa"/>
          <w:left w:w="0" w:type="dxa"/>
          <w:bottom w:w="0" w:type="dxa"/>
          <w:right w:w="0" w:type="dxa"/>
        </w:tblCellMar>
      </w:tblPr>
      <w:tblGrid>
        <w:gridCol w:w="215"/>
        <w:gridCol w:w="8585"/>
      </w:tblGrid>
      <w:tr>
        <w:trPr/>
        <w:tc>
          <w:tcPr>
            <w:tcW w:w="215" w:type="dxa"/>
            <w:tcBorders/>
            <w:vAlign w:val="center"/>
          </w:tcPr>
          <w:p>
            <w:pPr>
              <w:pStyle w:val="TableContents"/>
              <w:bidi w:val="0"/>
              <w:spacing w:before="0" w:after="283"/>
              <w:jc w:val="left"/>
              <w:rPr>
                <w:b/>
              </w:rPr>
            </w:pPr>
            <w:r>
              <w:rPr>
                <w:b/>
              </w:rPr>
              <w:t>7.</w:t>
            </w:r>
          </w:p>
        </w:tc>
        <w:tc>
          <w:tcPr>
            <w:tcW w:w="8585" w:type="dxa"/>
            <w:tcBorders/>
            <w:vAlign w:val="center"/>
          </w:tcPr>
          <w:p>
            <w:pPr>
              <w:pStyle w:val="TableContents"/>
              <w:bidi w:val="0"/>
              <w:spacing w:before="0" w:after="0"/>
              <w:jc w:val="left"/>
              <w:rPr>
                <w:b/>
              </w:rPr>
            </w:pPr>
            <w:r>
              <w:rPr>
                <w:b/>
              </w:rPr>
              <w:t>What does this mean for my role? Will I have a job with AbbVie following the close?</w:t>
            </w:r>
          </w:p>
        </w:tc>
      </w:tr>
    </w:tbl>
    <w:p>
      <w:pPr>
        <w:pStyle w:val="Normal"/>
        <w:bidi w:val="0"/>
        <w:spacing w:before="0" w:after="0"/>
        <w:jc w:val="left"/>
        <w:rPr>
          <w:sz w:val="4"/>
          <w:szCs w:val="4"/>
        </w:rPr>
      </w:pPr>
      <w:r>
        <w:rPr>
          <w:sz w:val="4"/>
          <w:szCs w:val="4"/>
        </w:rPr>
      </w:r>
      <w:bookmarkStart w:id="64" w:name="z7608bb24cfbc4c1ab4ddca63e51d388a"/>
      <w:bookmarkStart w:id="65" w:name="z7608bb24cfbc4c1ab4ddca63e51d388a"/>
      <w:bookmarkEnd w:id="6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Nothing changes today. With the exception of individuals who will be asked to participate in integration planning and certain specific restrictions in the acquisition agreement (which will be communicated separately to the affected employees), your day-to-day will remain the same.</w:t>
            </w:r>
          </w:p>
        </w:tc>
      </w:tr>
    </w:tbl>
    <w:p>
      <w:pPr>
        <w:pStyle w:val="Normal"/>
        <w:bidi w:val="0"/>
        <w:spacing w:before="0" w:after="0"/>
        <w:jc w:val="left"/>
        <w:rPr>
          <w:sz w:val="4"/>
          <w:szCs w:val="4"/>
        </w:rPr>
      </w:pPr>
      <w:r>
        <w:rPr>
          <w:sz w:val="4"/>
          <w:szCs w:val="4"/>
        </w:rPr>
      </w:r>
      <w:bookmarkStart w:id="66" w:name="zb8bb7838b53c4c61885f3c8b905f3545"/>
      <w:bookmarkStart w:id="67" w:name="zb8bb7838b53c4c61885f3c8b905f3545"/>
      <w:bookmarkEnd w:id="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Over the coming weeks, leaders from Apogee and AbbVie will begin planning for integration following the close.</w:t>
            </w:r>
          </w:p>
        </w:tc>
      </w:tr>
    </w:tbl>
    <w:p>
      <w:pPr>
        <w:pStyle w:val="Normal"/>
        <w:bidi w:val="0"/>
        <w:spacing w:before="0" w:after="0"/>
        <w:jc w:val="left"/>
        <w:rPr>
          <w:sz w:val="4"/>
          <w:szCs w:val="4"/>
        </w:rPr>
      </w:pPr>
      <w:r>
        <w:rPr>
          <w:sz w:val="4"/>
          <w:szCs w:val="4"/>
        </w:rPr>
      </w:r>
      <w:bookmarkStart w:id="68" w:name="z15eebe4fa071442080996b1950a3d4ae"/>
      <w:bookmarkStart w:id="69" w:name="z15eebe4fa071442080996b1950a3d4ae"/>
      <w:bookmarkEnd w:id="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will have additional updates as we move through that process, and we will keep you informed as decisions are made.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9dea1ee2c20a470fa678f7ca6868adf1"/>
      <w:bookmarkStart w:id="71" w:name="z9dea1ee2c20a470fa678f7ca6868adf1"/>
      <w:bookmarkEnd w:id="71"/>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sz w:val="16"/>
              </w:rPr>
            </w:pPr>
            <w:r>
              <w:rPr>
                <w:b/>
                <w:i w:val="false"/>
                <w:caps w:val="false"/>
                <w:smallCaps w:val="false"/>
                <w:color w:val="000000"/>
                <w:sz w:val="16"/>
              </w:rPr>
              <w:t>Page 1 of 6</w:t>
            </w:r>
            <w:r>
              <w:rPr>
                <w:b/>
                <w:sz w:val="16"/>
              </w:rPr>
              <w:t xml:space="preserve"> </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3209925" cy="92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3209925" cy="92392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72" w:name="zaa3f64d531fc41bd99a7d8151e82b477"/>
      <w:bookmarkStart w:id="73" w:name="zaa3f64d531fc41bd99a7d8151e82b477"/>
      <w:bookmarkEnd w:id="73"/>
    </w:p>
    <w:tbl>
      <w:tblPr>
        <w:tblW w:w="4135" w:type="dxa"/>
        <w:jc w:val="left"/>
        <w:tblInd w:w="0" w:type="dxa"/>
        <w:tblLayout w:type="fixed"/>
        <w:tblCellMar>
          <w:top w:w="0" w:type="dxa"/>
          <w:left w:w="0" w:type="dxa"/>
          <w:bottom w:w="0" w:type="dxa"/>
          <w:right w:w="0" w:type="dxa"/>
        </w:tblCellMar>
      </w:tblPr>
      <w:tblGrid>
        <w:gridCol w:w="215"/>
        <w:gridCol w:w="3920"/>
      </w:tblGrid>
      <w:tr>
        <w:trPr/>
        <w:tc>
          <w:tcPr>
            <w:tcW w:w="215" w:type="dxa"/>
            <w:tcBorders/>
            <w:vAlign w:val="center"/>
          </w:tcPr>
          <w:p>
            <w:pPr>
              <w:pStyle w:val="TableContents"/>
              <w:bidi w:val="0"/>
              <w:spacing w:before="0" w:after="283"/>
              <w:jc w:val="left"/>
              <w:rPr>
                <w:b/>
              </w:rPr>
            </w:pPr>
            <w:r>
              <w:rPr>
                <w:b/>
              </w:rPr>
              <w:t>8.</w:t>
            </w:r>
          </w:p>
        </w:tc>
        <w:tc>
          <w:tcPr>
            <w:tcW w:w="3920" w:type="dxa"/>
            <w:tcBorders/>
            <w:vAlign w:val="center"/>
          </w:tcPr>
          <w:p>
            <w:pPr>
              <w:pStyle w:val="TableContents"/>
              <w:bidi w:val="0"/>
              <w:spacing w:before="0" w:after="0"/>
              <w:jc w:val="left"/>
              <w:rPr>
                <w:b/>
              </w:rPr>
            </w:pPr>
            <w:r>
              <w:rPr>
                <w:b/>
              </w:rPr>
              <w:t>How and when will integration occur?</w:t>
            </w:r>
          </w:p>
        </w:tc>
      </w:tr>
    </w:tbl>
    <w:p>
      <w:pPr>
        <w:pStyle w:val="Normal"/>
        <w:bidi w:val="0"/>
        <w:spacing w:before="0" w:after="0"/>
        <w:jc w:val="left"/>
        <w:rPr>
          <w:sz w:val="4"/>
          <w:szCs w:val="4"/>
        </w:rPr>
      </w:pPr>
      <w:r>
        <w:rPr>
          <w:sz w:val="4"/>
          <w:szCs w:val="4"/>
        </w:rPr>
      </w:r>
      <w:bookmarkStart w:id="74" w:name="z5e805c43f8184bc08ec86cf3f665755a"/>
      <w:bookmarkStart w:id="75" w:name="z5e805c43f8184bc08ec86cf3f665755a"/>
      <w:bookmarkEnd w:id="7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the coming days, we will kick off an integration planning team. This team will partner closely with AbbVie to begin to plan for close. We will share more information as this team kicks off.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142299eb9fec4b46b375f8fccae541fb"/>
      <w:bookmarkStart w:id="77" w:name="z142299eb9fec4b46b375f8fccae541fb"/>
      <w:bookmarkEnd w:id="77"/>
    </w:p>
    <w:tbl>
      <w:tblPr>
        <w:tblW w:w="9070" w:type="dxa"/>
        <w:jc w:val="left"/>
        <w:tblInd w:w="0" w:type="dxa"/>
        <w:tblLayout w:type="fixed"/>
        <w:tblCellMar>
          <w:top w:w="0" w:type="dxa"/>
          <w:left w:w="0" w:type="dxa"/>
          <w:bottom w:w="0" w:type="dxa"/>
          <w:right w:w="0" w:type="dxa"/>
        </w:tblCellMar>
      </w:tblPr>
      <w:tblGrid>
        <w:gridCol w:w="215"/>
        <w:gridCol w:w="8855"/>
      </w:tblGrid>
      <w:tr>
        <w:trPr/>
        <w:tc>
          <w:tcPr>
            <w:tcW w:w="215" w:type="dxa"/>
            <w:tcBorders/>
            <w:vAlign w:val="center"/>
          </w:tcPr>
          <w:p>
            <w:pPr>
              <w:pStyle w:val="TableContents"/>
              <w:bidi w:val="0"/>
              <w:spacing w:before="0" w:after="283"/>
              <w:jc w:val="left"/>
              <w:rPr>
                <w:b/>
              </w:rPr>
            </w:pPr>
            <w:r>
              <w:rPr>
                <w:b/>
              </w:rPr>
              <w:t>9.</w:t>
            </w:r>
          </w:p>
        </w:tc>
        <w:tc>
          <w:tcPr>
            <w:tcW w:w="8855" w:type="dxa"/>
            <w:tcBorders/>
            <w:vAlign w:val="center"/>
          </w:tcPr>
          <w:p>
            <w:pPr>
              <w:pStyle w:val="TableContents"/>
              <w:bidi w:val="0"/>
              <w:spacing w:before="0" w:after="0"/>
              <w:jc w:val="left"/>
              <w:rPr>
                <w:b/>
              </w:rPr>
            </w:pPr>
            <w:r>
              <w:rPr>
                <w:b/>
              </w:rPr>
              <w:t>Will there be changes to my compensation or benefits as a result of this announcement?</w:t>
            </w:r>
          </w:p>
        </w:tc>
      </w:tr>
    </w:tbl>
    <w:p>
      <w:pPr>
        <w:pStyle w:val="Normal"/>
        <w:bidi w:val="0"/>
        <w:spacing w:before="0" w:after="0"/>
        <w:jc w:val="left"/>
        <w:rPr>
          <w:sz w:val="4"/>
          <w:szCs w:val="4"/>
        </w:rPr>
      </w:pPr>
      <w:r>
        <w:rPr>
          <w:sz w:val="4"/>
          <w:szCs w:val="4"/>
        </w:rPr>
      </w:r>
      <w:bookmarkStart w:id="78" w:name="z2abb2576902f4da9a8bb7baf5a22655e"/>
      <w:bookmarkStart w:id="79" w:name="z2abb2576902f4da9a8bb7baf5a22655e"/>
      <w:bookmarkEnd w:id="79"/>
    </w:p>
    <w:tbl>
      <w:tblPr>
        <w:tblW w:w="7443" w:type="dxa"/>
        <w:jc w:val="left"/>
        <w:tblInd w:w="0" w:type="dxa"/>
        <w:tblLayout w:type="fixed"/>
        <w:tblCellMar>
          <w:top w:w="0" w:type="dxa"/>
          <w:left w:w="0" w:type="dxa"/>
          <w:bottom w:w="0" w:type="dxa"/>
          <w:right w:w="0" w:type="dxa"/>
        </w:tblCellMar>
      </w:tblPr>
      <w:tblGrid>
        <w:gridCol w:w="38"/>
        <w:gridCol w:w="110"/>
        <w:gridCol w:w="72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pPr>
            <w:r>
              <w:rPr/>
              <w:t>No, there will be no changes to your compensation or benefits through close.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707768521ae3467c822d36de80f5828a"/>
      <w:bookmarkStart w:id="81" w:name="z707768521ae3467c822d36de80f5828a"/>
      <w:bookmarkEnd w:id="81"/>
    </w:p>
    <w:tbl>
      <w:tblPr>
        <w:tblW w:w="6070" w:type="dxa"/>
        <w:jc w:val="left"/>
        <w:tblInd w:w="0" w:type="dxa"/>
        <w:tblLayout w:type="fixed"/>
        <w:tblCellMar>
          <w:top w:w="0" w:type="dxa"/>
          <w:left w:w="0" w:type="dxa"/>
          <w:bottom w:w="0" w:type="dxa"/>
          <w:right w:w="0" w:type="dxa"/>
        </w:tblCellMar>
      </w:tblPr>
      <w:tblGrid>
        <w:gridCol w:w="335"/>
        <w:gridCol w:w="5735"/>
      </w:tblGrid>
      <w:tr>
        <w:trPr/>
        <w:tc>
          <w:tcPr>
            <w:tcW w:w="335" w:type="dxa"/>
            <w:tcBorders/>
            <w:vAlign w:val="center"/>
          </w:tcPr>
          <w:p>
            <w:pPr>
              <w:pStyle w:val="TableContents"/>
              <w:bidi w:val="0"/>
              <w:spacing w:before="0" w:after="283"/>
              <w:jc w:val="left"/>
              <w:rPr>
                <w:b/>
              </w:rPr>
            </w:pPr>
            <w:r>
              <w:rPr>
                <w:b/>
              </w:rPr>
              <w:t>10.</w:t>
            </w:r>
          </w:p>
        </w:tc>
        <w:tc>
          <w:tcPr>
            <w:tcW w:w="5735" w:type="dxa"/>
            <w:tcBorders/>
            <w:vAlign w:val="center"/>
          </w:tcPr>
          <w:p>
            <w:pPr>
              <w:pStyle w:val="TableContents"/>
              <w:bidi w:val="0"/>
              <w:spacing w:before="0" w:after="0"/>
              <w:jc w:val="left"/>
              <w:rPr>
                <w:b/>
              </w:rPr>
            </w:pPr>
            <w:r>
              <w:rPr>
                <w:b/>
              </w:rPr>
              <w:t>Will I still be eligible for my annual performance bonus?</w:t>
            </w:r>
          </w:p>
        </w:tc>
      </w:tr>
    </w:tbl>
    <w:p>
      <w:pPr>
        <w:pStyle w:val="Normal"/>
        <w:bidi w:val="0"/>
        <w:spacing w:before="0" w:after="0"/>
        <w:jc w:val="left"/>
        <w:rPr>
          <w:sz w:val="4"/>
          <w:szCs w:val="4"/>
        </w:rPr>
      </w:pPr>
      <w:r>
        <w:rPr>
          <w:sz w:val="4"/>
          <w:szCs w:val="4"/>
        </w:rPr>
      </w:r>
      <w:bookmarkStart w:id="82" w:name="z147f60bfd4714273b057ae03aed5b940"/>
      <w:bookmarkStart w:id="83" w:name="z147f60bfd4714273b057ae03aed5b940"/>
      <w:bookmarkEnd w:id="83"/>
    </w:p>
    <w:tbl>
      <w:tblPr>
        <w:tblW w:w="8748" w:type="dxa"/>
        <w:jc w:val="left"/>
        <w:tblInd w:w="0" w:type="dxa"/>
        <w:tblLayout w:type="fixed"/>
        <w:tblCellMar>
          <w:top w:w="0" w:type="dxa"/>
          <w:left w:w="0" w:type="dxa"/>
          <w:bottom w:w="0" w:type="dxa"/>
          <w:right w:w="0" w:type="dxa"/>
        </w:tblCellMar>
      </w:tblPr>
      <w:tblGrid>
        <w:gridCol w:w="38"/>
        <w:gridCol w:w="110"/>
        <w:gridCol w:w="86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0"/>
              <w:jc w:val="left"/>
              <w:rPr/>
            </w:pPr>
            <w:r>
              <w:rPr/>
              <w:t>Yes, everyone remains eligible for their annual performance bonus, paid in fiscal Q1 2027.</w:t>
            </w:r>
          </w:p>
        </w:tc>
      </w:tr>
    </w:tbl>
    <w:p>
      <w:pPr>
        <w:pStyle w:val="Normal"/>
        <w:bidi w:val="0"/>
        <w:spacing w:before="0" w:after="0"/>
        <w:jc w:val="left"/>
        <w:rPr>
          <w:sz w:val="4"/>
          <w:szCs w:val="4"/>
        </w:rPr>
      </w:pPr>
      <w:r>
        <w:rPr>
          <w:sz w:val="4"/>
          <w:szCs w:val="4"/>
        </w:rPr>
      </w:r>
      <w:bookmarkStart w:id="84" w:name="zaa322507f65b4f58bbc28ad64ba14ced"/>
      <w:bookmarkStart w:id="85" w:name="zaa322507f65b4f58bbc28ad64ba14ced"/>
      <w:bookmarkEnd w:id="8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part of this transaction, AbbVie has agreed to guarantee that everyone will receive a bonus at target, providing they remain employed by AbbVie through the end of calendar year 2026.</w:t>
            </w:r>
          </w:p>
        </w:tc>
      </w:tr>
    </w:tbl>
    <w:p>
      <w:pPr>
        <w:pStyle w:val="Normal"/>
        <w:bidi w:val="0"/>
        <w:spacing w:before="0" w:after="0"/>
        <w:jc w:val="left"/>
        <w:rPr>
          <w:sz w:val="4"/>
          <w:szCs w:val="4"/>
        </w:rPr>
      </w:pPr>
      <w:r>
        <w:rPr>
          <w:sz w:val="4"/>
          <w:szCs w:val="4"/>
        </w:rPr>
      </w:r>
      <w:bookmarkStart w:id="86" w:name="z583f68e6effa4f9bb60ddc21b8996f2a"/>
      <w:bookmarkStart w:id="87" w:name="z583f68e6effa4f9bb60ddc21b8996f2a"/>
      <w:bookmarkEnd w:id="8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your role is eliminated prior to Q1 2027, you will be eligible to receive a severance package, based on your level. This severance package will include your full year target bonus.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aa958f6e42924672870c09b376ab35b0"/>
      <w:bookmarkStart w:id="89" w:name="zaa958f6e42924672870c09b376ab35b0"/>
      <w:bookmarkEnd w:id="89"/>
    </w:p>
    <w:tbl>
      <w:tblPr>
        <w:tblW w:w="4450" w:type="dxa"/>
        <w:jc w:val="left"/>
        <w:tblInd w:w="0" w:type="dxa"/>
        <w:tblLayout w:type="fixed"/>
        <w:tblCellMar>
          <w:top w:w="0" w:type="dxa"/>
          <w:left w:w="0" w:type="dxa"/>
          <w:bottom w:w="0" w:type="dxa"/>
          <w:right w:w="0" w:type="dxa"/>
        </w:tblCellMar>
      </w:tblPr>
      <w:tblGrid>
        <w:gridCol w:w="335"/>
        <w:gridCol w:w="4115"/>
      </w:tblGrid>
      <w:tr>
        <w:trPr/>
        <w:tc>
          <w:tcPr>
            <w:tcW w:w="335" w:type="dxa"/>
            <w:tcBorders/>
            <w:vAlign w:val="center"/>
          </w:tcPr>
          <w:p>
            <w:pPr>
              <w:pStyle w:val="TableContents"/>
              <w:bidi w:val="0"/>
              <w:spacing w:before="0" w:after="283"/>
              <w:jc w:val="left"/>
              <w:rPr>
                <w:b/>
              </w:rPr>
            </w:pPr>
            <w:r>
              <w:rPr>
                <w:b/>
              </w:rPr>
              <w:t>11.</w:t>
            </w:r>
          </w:p>
        </w:tc>
        <w:tc>
          <w:tcPr>
            <w:tcW w:w="4115" w:type="dxa"/>
            <w:tcBorders/>
            <w:vAlign w:val="center"/>
          </w:tcPr>
          <w:p>
            <w:pPr>
              <w:pStyle w:val="TableContents"/>
              <w:bidi w:val="0"/>
              <w:spacing w:before="0" w:after="0"/>
              <w:jc w:val="left"/>
              <w:rPr>
                <w:b/>
              </w:rPr>
            </w:pPr>
            <w:r>
              <w:rPr>
                <w:b/>
              </w:rPr>
              <w:t>What will happen to my Apogee equity?</w:t>
            </w:r>
          </w:p>
        </w:tc>
      </w:tr>
    </w:tbl>
    <w:p>
      <w:pPr>
        <w:pStyle w:val="Normal"/>
        <w:bidi w:val="0"/>
        <w:spacing w:before="0" w:after="0"/>
        <w:jc w:val="left"/>
        <w:rPr>
          <w:sz w:val="4"/>
          <w:szCs w:val="4"/>
        </w:rPr>
      </w:pPr>
      <w:r>
        <w:rPr>
          <w:sz w:val="4"/>
          <w:szCs w:val="4"/>
        </w:rPr>
      </w:r>
      <w:bookmarkStart w:id="90" w:name="z24e83520ee5d47479befc2a83e3f0a79"/>
      <w:bookmarkStart w:id="91" w:name="z24e83520ee5d47479befc2a83e3f0a79"/>
      <w:bookmarkEnd w:id="9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Upon the transaction close, all of your Apogee equity compensation will accelerate and become fully vested. You will receive $135.11 in cash per share of common stock subject to restricted stock and restricted stock unit awards.</w:t>
            </w:r>
          </w:p>
        </w:tc>
      </w:tr>
    </w:tbl>
    <w:p>
      <w:pPr>
        <w:pStyle w:val="Normal"/>
        <w:bidi w:val="0"/>
        <w:spacing w:before="0" w:after="0"/>
        <w:jc w:val="left"/>
        <w:rPr>
          <w:sz w:val="4"/>
          <w:szCs w:val="4"/>
        </w:rPr>
      </w:pPr>
      <w:r>
        <w:rPr>
          <w:sz w:val="4"/>
          <w:szCs w:val="4"/>
        </w:rPr>
      </w:r>
      <w:bookmarkStart w:id="92" w:name="z6b5f663862bd42949257ac95217be697"/>
      <w:bookmarkStart w:id="93" w:name="z6b5f663862bd42949257ac95217be697"/>
      <w:bookmarkEnd w:id="9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For stock options, you will receive a cash payment for the "spread" (e.g., the positive difference between your grant price and $135.11).</w:t>
            </w:r>
          </w:p>
        </w:tc>
      </w:tr>
    </w:tbl>
    <w:p>
      <w:pPr>
        <w:pStyle w:val="Normal"/>
        <w:bidi w:val="0"/>
        <w:spacing w:before="0" w:after="0"/>
        <w:jc w:val="left"/>
        <w:rPr>
          <w:sz w:val="4"/>
          <w:szCs w:val="4"/>
        </w:rPr>
      </w:pPr>
      <w:r>
        <w:rPr>
          <w:sz w:val="4"/>
          <w:szCs w:val="4"/>
        </w:rPr>
      </w:r>
      <w:bookmarkStart w:id="94" w:name="z85ec43102de5465a9f31fb6fe94e1eaf"/>
      <w:bookmarkStart w:id="95" w:name="z85ec43102de5465a9f31fb6fe94e1eaf"/>
      <w:bookmarkEnd w:id="9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cash compensation for your equity will be deposited in your E*TRADE account following the transaction close.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30dbb53ec4ae4a0daa2e09b37c0ad679"/>
      <w:bookmarkStart w:id="97" w:name="z30dbb53ec4ae4a0daa2e09b37c0ad679"/>
      <w:bookmarkEnd w:id="97"/>
    </w:p>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b/>
              </w:rPr>
            </w:pPr>
            <w:r>
              <w:rPr>
                <w:b/>
              </w:rPr>
              <w:t>12.</w:t>
            </w:r>
          </w:p>
        </w:tc>
        <w:tc>
          <w:tcPr>
            <w:tcW w:w="9884" w:type="dxa"/>
            <w:tcBorders/>
            <w:vAlign w:val="center"/>
          </w:tcPr>
          <w:p>
            <w:pPr>
              <w:pStyle w:val="TableContents"/>
              <w:bidi w:val="0"/>
              <w:spacing w:before="0" w:after="0"/>
              <w:jc w:val="left"/>
              <w:rPr>
                <w:b/>
              </w:rPr>
            </w:pPr>
            <w:r>
              <w:rPr>
                <w:b/>
              </w:rPr>
              <w:t>Can I trade Apogee stock between now and the close of the transaction? Will I continue to be subject to trading windows?</w:t>
            </w:r>
          </w:p>
        </w:tc>
      </w:tr>
    </w:tbl>
    <w:p>
      <w:pPr>
        <w:pStyle w:val="Normal"/>
        <w:bidi w:val="0"/>
        <w:spacing w:before="0" w:after="0"/>
        <w:jc w:val="left"/>
        <w:rPr>
          <w:sz w:val="4"/>
          <w:szCs w:val="4"/>
        </w:rPr>
      </w:pPr>
      <w:r>
        <w:rPr>
          <w:sz w:val="4"/>
          <w:szCs w:val="4"/>
        </w:rPr>
      </w:r>
      <w:bookmarkStart w:id="98" w:name="zb309ddedcaf6456ea3060cf131a2ded3"/>
      <w:bookmarkStart w:id="99" w:name="zb309ddedcaf6456ea3060cf131a2ded3"/>
      <w:bookmarkEnd w:id="99"/>
    </w:p>
    <w:tbl>
      <w:tblPr>
        <w:tblW w:w="8193" w:type="dxa"/>
        <w:jc w:val="left"/>
        <w:tblInd w:w="0" w:type="dxa"/>
        <w:tblLayout w:type="fixed"/>
        <w:tblCellMar>
          <w:top w:w="0" w:type="dxa"/>
          <w:left w:w="0" w:type="dxa"/>
          <w:bottom w:w="0" w:type="dxa"/>
          <w:right w:w="0" w:type="dxa"/>
        </w:tblCellMar>
      </w:tblPr>
      <w:tblGrid>
        <w:gridCol w:w="38"/>
        <w:gridCol w:w="110"/>
        <w:gridCol w:w="804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0"/>
              <w:jc w:val="left"/>
              <w:rPr/>
            </w:pPr>
            <w:r>
              <w:rPr/>
              <w:t>All active 10b5-1 plans that were entered into as of June 18, 2026 will remain active.</w:t>
            </w:r>
          </w:p>
        </w:tc>
      </w:tr>
    </w:tbl>
    <w:p>
      <w:pPr>
        <w:pStyle w:val="Normal"/>
        <w:bidi w:val="0"/>
        <w:spacing w:before="0" w:after="0"/>
        <w:jc w:val="left"/>
        <w:rPr>
          <w:sz w:val="4"/>
          <w:szCs w:val="4"/>
        </w:rPr>
      </w:pPr>
      <w:r>
        <w:rPr>
          <w:sz w:val="4"/>
          <w:szCs w:val="4"/>
        </w:rPr>
      </w:r>
      <w:bookmarkStart w:id="100" w:name="zffa9f7088cc6426cb4a0a05fb198ef2d"/>
      <w:bookmarkStart w:id="101" w:name="zffa9f7088cc6426cb4a0a05fb198ef2d"/>
      <w:bookmarkEnd w:id="10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In connection with the transaction, we have implemented a trading blackout, effective immediately. As a result, you are not able to trade at this time.</w:t>
            </w:r>
          </w:p>
        </w:tc>
      </w:tr>
    </w:tbl>
    <w:p>
      <w:pPr>
        <w:pStyle w:val="Normal"/>
        <w:bidi w:val="0"/>
        <w:spacing w:before="0" w:after="0"/>
        <w:jc w:val="left"/>
        <w:rPr>
          <w:sz w:val="4"/>
          <w:szCs w:val="4"/>
        </w:rPr>
      </w:pPr>
      <w:r>
        <w:rPr>
          <w:sz w:val="4"/>
          <w:szCs w:val="4"/>
        </w:rPr>
      </w:r>
      <w:bookmarkStart w:id="102" w:name="z58d6c0f45b1747179eb2bddad085916a"/>
      <w:bookmarkStart w:id="103" w:name="z58d6c0f45b1747179eb2bddad085916a"/>
      <w:bookmarkEnd w:id="10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will communicate with employees if we decide to open a trading window after we file our Form 10-Q in August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987ad6078dcd4a21bed7ff86c6e3d506"/>
      <w:bookmarkStart w:id="105" w:name="z987ad6078dcd4a21bed7ff86c6e3d506"/>
      <w:bookmarkEnd w:id="105"/>
    </w:p>
    <w:tbl>
      <w:tblPr>
        <w:tblW w:w="6175" w:type="dxa"/>
        <w:jc w:val="left"/>
        <w:tblInd w:w="0" w:type="dxa"/>
        <w:tblLayout w:type="fixed"/>
        <w:tblCellMar>
          <w:top w:w="0" w:type="dxa"/>
          <w:left w:w="0" w:type="dxa"/>
          <w:bottom w:w="0" w:type="dxa"/>
          <w:right w:w="0" w:type="dxa"/>
        </w:tblCellMar>
      </w:tblPr>
      <w:tblGrid>
        <w:gridCol w:w="335"/>
        <w:gridCol w:w="5840"/>
      </w:tblGrid>
      <w:tr>
        <w:trPr/>
        <w:tc>
          <w:tcPr>
            <w:tcW w:w="335" w:type="dxa"/>
            <w:tcBorders/>
            <w:vAlign w:val="center"/>
          </w:tcPr>
          <w:p>
            <w:pPr>
              <w:pStyle w:val="TableContents"/>
              <w:bidi w:val="0"/>
              <w:spacing w:before="0" w:after="283"/>
              <w:jc w:val="left"/>
              <w:rPr>
                <w:b/>
              </w:rPr>
            </w:pPr>
            <w:r>
              <w:rPr>
                <w:b/>
              </w:rPr>
              <w:t>13.</w:t>
            </w:r>
          </w:p>
        </w:tc>
        <w:tc>
          <w:tcPr>
            <w:tcW w:w="5840" w:type="dxa"/>
            <w:tcBorders/>
            <w:vAlign w:val="center"/>
          </w:tcPr>
          <w:p>
            <w:pPr>
              <w:pStyle w:val="TableContents"/>
              <w:bidi w:val="0"/>
              <w:spacing w:before="0" w:after="0"/>
              <w:jc w:val="left"/>
              <w:rPr>
                <w:b/>
              </w:rPr>
            </w:pPr>
            <w:r>
              <w:rPr>
                <w:b/>
              </w:rPr>
              <w:t>What does this announcement mean for Apogee’s ESPP?</w:t>
            </w:r>
          </w:p>
        </w:tc>
      </w:tr>
    </w:tbl>
    <w:p>
      <w:pPr>
        <w:pStyle w:val="Normal"/>
        <w:bidi w:val="0"/>
        <w:spacing w:before="0" w:after="0"/>
        <w:jc w:val="left"/>
        <w:rPr>
          <w:sz w:val="4"/>
          <w:szCs w:val="4"/>
        </w:rPr>
      </w:pPr>
      <w:r>
        <w:rPr>
          <w:sz w:val="4"/>
          <w:szCs w:val="4"/>
        </w:rPr>
      </w:r>
      <w:bookmarkStart w:id="106" w:name="zd9a93fe6a2ab4316a52ed9786f87b145"/>
      <w:bookmarkStart w:id="107" w:name="zd9a93fe6a2ab4316a52ed9786f87b145"/>
      <w:bookmarkEnd w:id="107"/>
    </w:p>
    <w:tbl>
      <w:tblPr>
        <w:tblW w:w="5388" w:type="dxa"/>
        <w:jc w:val="left"/>
        <w:tblInd w:w="0" w:type="dxa"/>
        <w:tblLayout w:type="fixed"/>
        <w:tblCellMar>
          <w:top w:w="0" w:type="dxa"/>
          <w:left w:w="0" w:type="dxa"/>
          <w:bottom w:w="0" w:type="dxa"/>
          <w:right w:w="0" w:type="dxa"/>
        </w:tblCellMar>
      </w:tblPr>
      <w:tblGrid>
        <w:gridCol w:w="38"/>
        <w:gridCol w:w="110"/>
        <w:gridCol w:w="52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5240" w:type="dxa"/>
            <w:tcBorders/>
            <w:vAlign w:val="center"/>
          </w:tcPr>
          <w:p>
            <w:pPr>
              <w:pStyle w:val="TableContents"/>
              <w:bidi w:val="0"/>
              <w:spacing w:before="0" w:after="0"/>
              <w:jc w:val="left"/>
              <w:rPr>
                <w:color w:val="000000"/>
              </w:rPr>
            </w:pPr>
            <w:r>
              <w:rPr>
                <w:color w:val="000000"/>
              </w:rPr>
              <w:t>There will be no new offering periods under the ESPP.</w:t>
            </w:r>
          </w:p>
        </w:tc>
      </w:tr>
    </w:tbl>
    <w:p>
      <w:pPr>
        <w:pStyle w:val="Normal"/>
        <w:bidi w:val="0"/>
        <w:spacing w:before="0" w:after="0"/>
        <w:jc w:val="left"/>
        <w:rPr>
          <w:sz w:val="4"/>
          <w:szCs w:val="4"/>
        </w:rPr>
      </w:pPr>
      <w:r>
        <w:rPr>
          <w:sz w:val="4"/>
          <w:szCs w:val="4"/>
        </w:rPr>
      </w:r>
      <w:bookmarkStart w:id="108" w:name="zdd13c6b256a74cb7a5012d1d25df9171"/>
      <w:bookmarkStart w:id="109" w:name="zdd13c6b256a74cb7a5012d1d25df9171"/>
      <w:bookmarkEnd w:id="10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If you are currently participating in the January 1- June 30 offering period, you will still be able to continue to contribute and participate in the ESPP purchase that occurs prior to close, but you will not be able to increase or decrease your rate of contributions, withdraw or make any separate non-payroll contributions.</w:t>
            </w:r>
          </w:p>
        </w:tc>
      </w:tr>
    </w:tbl>
    <w:p>
      <w:pPr>
        <w:pStyle w:val="Normal"/>
        <w:bidi w:val="0"/>
        <w:spacing w:before="0" w:after="0"/>
        <w:jc w:val="left"/>
        <w:rPr>
          <w:sz w:val="4"/>
          <w:szCs w:val="4"/>
        </w:rPr>
      </w:pPr>
      <w:r>
        <w:rPr>
          <w:sz w:val="4"/>
          <w:szCs w:val="4"/>
        </w:rPr>
      </w:r>
      <w:bookmarkStart w:id="110" w:name="z7d60318743114af09fc4002a99cd2f6d"/>
      <w:bookmarkStart w:id="111" w:name="z7d60318743114af09fc4002a99cd2f6d"/>
      <w:bookmarkEnd w:id="111"/>
    </w:p>
    <w:tbl>
      <w:tblPr>
        <w:tblW w:w="8118" w:type="dxa"/>
        <w:jc w:val="left"/>
        <w:tblInd w:w="0" w:type="dxa"/>
        <w:tblLayout w:type="fixed"/>
        <w:tblCellMar>
          <w:top w:w="0" w:type="dxa"/>
          <w:left w:w="0" w:type="dxa"/>
          <w:bottom w:w="0" w:type="dxa"/>
          <w:right w:w="0" w:type="dxa"/>
        </w:tblCellMar>
      </w:tblPr>
      <w:tblGrid>
        <w:gridCol w:w="38"/>
        <w:gridCol w:w="110"/>
        <w:gridCol w:w="79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970" w:type="dxa"/>
            <w:tcBorders/>
            <w:vAlign w:val="center"/>
          </w:tcPr>
          <w:p>
            <w:pPr>
              <w:pStyle w:val="TableContents"/>
              <w:bidi w:val="0"/>
              <w:spacing w:before="0" w:after="0"/>
              <w:jc w:val="left"/>
              <w:rPr>
                <w:color w:val="000000"/>
              </w:rPr>
            </w:pPr>
            <w:r>
              <w:rPr>
                <w:color w:val="000000"/>
              </w:rPr>
              <w:t>If you are not participating in the ESPP, there is no opportunity to start participating.</w:t>
            </w:r>
          </w:p>
        </w:tc>
      </w:tr>
    </w:tbl>
    <w:p>
      <w:pPr>
        <w:pStyle w:val="Normal"/>
        <w:bidi w:val="0"/>
        <w:spacing w:before="0" w:after="0"/>
        <w:jc w:val="left"/>
        <w:rPr>
          <w:sz w:val="4"/>
          <w:szCs w:val="4"/>
        </w:rPr>
      </w:pPr>
      <w:r>
        <w:rPr>
          <w:sz w:val="4"/>
          <w:szCs w:val="4"/>
        </w:rPr>
      </w:r>
      <w:bookmarkStart w:id="112" w:name="zcea7c2a7df7b48618fa8b184f68ecc7c"/>
      <w:bookmarkStart w:id="113" w:name="zcea7c2a7df7b48618fa8b184f68ecc7c"/>
      <w:bookmarkEnd w:id="11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Employees who own Apogee ESPP shares at close will receive $135.11 in cash per share in their E*TRADE accounts.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4" w:name="zfdce1fd02c964a1c9a82ea3ce8a2c2ba"/>
      <w:bookmarkStart w:id="115" w:name="zfdce1fd02c964a1c9a82ea3ce8a2c2ba"/>
      <w:bookmarkEnd w:id="115"/>
    </w:p>
    <w:tbl>
      <w:tblPr>
        <w:tblW w:w="5650" w:type="dxa"/>
        <w:jc w:val="left"/>
        <w:tblInd w:w="0" w:type="dxa"/>
        <w:tblLayout w:type="fixed"/>
        <w:tblCellMar>
          <w:top w:w="0" w:type="dxa"/>
          <w:left w:w="0" w:type="dxa"/>
          <w:bottom w:w="0" w:type="dxa"/>
          <w:right w:w="0" w:type="dxa"/>
        </w:tblCellMar>
      </w:tblPr>
      <w:tblGrid>
        <w:gridCol w:w="335"/>
        <w:gridCol w:w="5315"/>
      </w:tblGrid>
      <w:tr>
        <w:trPr/>
        <w:tc>
          <w:tcPr>
            <w:tcW w:w="335" w:type="dxa"/>
            <w:tcBorders/>
            <w:vAlign w:val="center"/>
          </w:tcPr>
          <w:p>
            <w:pPr>
              <w:pStyle w:val="TableContents"/>
              <w:bidi w:val="0"/>
              <w:spacing w:before="0" w:after="283"/>
              <w:jc w:val="left"/>
              <w:rPr>
                <w:b/>
              </w:rPr>
            </w:pPr>
            <w:r>
              <w:rPr>
                <w:b/>
              </w:rPr>
              <w:t>14.</w:t>
            </w:r>
          </w:p>
        </w:tc>
        <w:tc>
          <w:tcPr>
            <w:tcW w:w="5315" w:type="dxa"/>
            <w:tcBorders/>
            <w:vAlign w:val="center"/>
          </w:tcPr>
          <w:p>
            <w:pPr>
              <w:pStyle w:val="TableContents"/>
              <w:bidi w:val="0"/>
              <w:spacing w:before="0" w:after="0"/>
              <w:jc w:val="left"/>
              <w:rPr>
                <w:b/>
              </w:rPr>
            </w:pPr>
            <w:r>
              <w:rPr>
                <w:b/>
              </w:rPr>
              <w:t>Will I receive severance pay if my role is eliminated?</w:t>
            </w:r>
          </w:p>
        </w:tc>
      </w:tr>
    </w:tbl>
    <w:p>
      <w:pPr>
        <w:pStyle w:val="Normal"/>
        <w:bidi w:val="0"/>
        <w:spacing w:before="0" w:after="0"/>
        <w:jc w:val="left"/>
        <w:rPr>
          <w:sz w:val="4"/>
          <w:szCs w:val="4"/>
        </w:rPr>
      </w:pPr>
      <w:r>
        <w:rPr>
          <w:sz w:val="4"/>
          <w:szCs w:val="4"/>
        </w:rPr>
      </w:r>
      <w:bookmarkStart w:id="116" w:name="z5777ac4191aa4dd28285dfd165e3844e"/>
      <w:bookmarkStart w:id="117" w:name="z5777ac4191aa4dd28285dfd165e3844e"/>
      <w:bookmarkEnd w:id="1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If your role is eliminated, you will be eligible for severance, based on your level and in accordance with our existing policies.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z57637c34063a483e9b0eca20e4422ecd"/>
      <w:bookmarkStart w:id="119" w:name="z57637c34063a483e9b0eca20e4422ecd"/>
      <w:bookmarkEnd w:id="119"/>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sz w:val="16"/>
              </w:rPr>
            </w:pPr>
            <w:r>
              <w:rPr>
                <w:b/>
                <w:i w:val="false"/>
                <w:caps w:val="false"/>
                <w:smallCaps w:val="false"/>
                <w:color w:val="000000"/>
                <w:sz w:val="16"/>
              </w:rPr>
              <w:t>Page 2 of 6</w:t>
            </w:r>
            <w:r>
              <w:rPr>
                <w:b/>
                <w:sz w:val="16"/>
              </w:rPr>
              <w:t xml:space="preserve"> </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3209925" cy="923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3209925" cy="923925"/>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z50e60ebddd7a494bbebfadfbdcb290dc"/>
      <w:bookmarkStart w:id="121" w:name="z50e60ebddd7a494bbebfadfbdcb290dc"/>
      <w:bookmarkEnd w:id="121"/>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b/>
              </w:rPr>
            </w:pPr>
            <w:r>
              <w:rPr>
                <w:b/>
              </w:rPr>
              <w:t>15.</w:t>
            </w:r>
          </w:p>
        </w:tc>
        <w:tc>
          <w:tcPr>
            <w:tcW w:w="9889" w:type="dxa"/>
            <w:tcBorders/>
            <w:vAlign w:val="center"/>
          </w:tcPr>
          <w:p>
            <w:pPr>
              <w:pStyle w:val="TableContents"/>
              <w:bidi w:val="0"/>
              <w:spacing w:before="0" w:after="0"/>
              <w:jc w:val="left"/>
              <w:rPr>
                <w:b/>
              </w:rPr>
            </w:pPr>
            <w:r>
              <w:rPr>
                <w:b/>
              </w:rPr>
              <w:t>I recently joined Apogee and am supposed to receive my new hire grant at the end of the month. What will happen to my new hire grant?</w:t>
            </w:r>
          </w:p>
        </w:tc>
      </w:tr>
    </w:tbl>
    <w:p>
      <w:pPr>
        <w:pStyle w:val="Normal"/>
        <w:bidi w:val="0"/>
        <w:spacing w:before="0" w:after="0"/>
        <w:jc w:val="left"/>
        <w:rPr>
          <w:sz w:val="4"/>
          <w:szCs w:val="4"/>
        </w:rPr>
      </w:pPr>
      <w:r>
        <w:rPr>
          <w:sz w:val="4"/>
          <w:szCs w:val="4"/>
        </w:rPr>
      </w:r>
      <w:bookmarkStart w:id="122" w:name="zfb36ad95b9bf4b0bb05a63e0d58ba37a"/>
      <w:bookmarkStart w:id="123" w:name="zfb36ad95b9bf4b0bb05a63e0d58ba37a"/>
      <w:bookmarkEnd w:id="1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are excited to have you as part of the Apogee team and appreciate the important work you are already doing. We also recognize this is an usual situation and will set up a call later today to answer any questions you may have.</w:t>
            </w:r>
          </w:p>
        </w:tc>
      </w:tr>
    </w:tbl>
    <w:p>
      <w:pPr>
        <w:pStyle w:val="Normal"/>
        <w:bidi w:val="0"/>
        <w:spacing w:before="0" w:after="0"/>
        <w:jc w:val="left"/>
        <w:rPr>
          <w:sz w:val="4"/>
          <w:szCs w:val="4"/>
        </w:rPr>
      </w:pPr>
      <w:r>
        <w:rPr>
          <w:sz w:val="4"/>
          <w:szCs w:val="4"/>
        </w:rPr>
      </w:r>
      <w:bookmarkStart w:id="124" w:name="za92c7bdf2e9a4a1483e5982d3ca3751f"/>
      <w:bookmarkStart w:id="125" w:name="za92c7bdf2e9a4a1483e5982d3ca3751f"/>
      <w:bookmarkEnd w:id="1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new hire grant amount outlined in your offer letter will convert to a cash equivalent upon the transaction close. You will then be eligible to receive 25% of the cash amount on each of the first four anniversaries of your hire date, providing you remain employed by AbbVie following the close.</w:t>
            </w:r>
          </w:p>
        </w:tc>
      </w:tr>
    </w:tbl>
    <w:p>
      <w:pPr>
        <w:pStyle w:val="Normal"/>
        <w:bidi w:val="0"/>
        <w:spacing w:before="0" w:after="0"/>
        <w:jc w:val="left"/>
        <w:rPr>
          <w:sz w:val="4"/>
          <w:szCs w:val="4"/>
        </w:rPr>
      </w:pPr>
      <w:r>
        <w:rPr>
          <w:sz w:val="4"/>
          <w:szCs w:val="4"/>
        </w:rPr>
      </w:r>
      <w:bookmarkStart w:id="126" w:name="z2e256b7284f94580b508153b24449215"/>
      <w:bookmarkStart w:id="127" w:name="z2e256b7284f94580b508153b24449215"/>
      <w:bookmarkEnd w:id="1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If your role is eliminated, you will be eligible for a severance package, which will include your new hire grant cash equivalent in full.</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8" w:name="zf1958565344349d3bb9f51d86e53d375"/>
      <w:bookmarkStart w:id="129" w:name="zf1958565344349d3bb9f51d86e53d375"/>
      <w:bookmarkEnd w:id="129"/>
    </w:p>
    <w:tbl>
      <w:tblPr>
        <w:tblW w:w="8005" w:type="dxa"/>
        <w:jc w:val="left"/>
        <w:tblInd w:w="0" w:type="dxa"/>
        <w:tblLayout w:type="fixed"/>
        <w:tblCellMar>
          <w:top w:w="0" w:type="dxa"/>
          <w:left w:w="0" w:type="dxa"/>
          <w:bottom w:w="0" w:type="dxa"/>
          <w:right w:w="0" w:type="dxa"/>
        </w:tblCellMar>
      </w:tblPr>
      <w:tblGrid>
        <w:gridCol w:w="335"/>
        <w:gridCol w:w="7670"/>
      </w:tblGrid>
      <w:tr>
        <w:trPr/>
        <w:tc>
          <w:tcPr>
            <w:tcW w:w="335" w:type="dxa"/>
            <w:tcBorders/>
            <w:vAlign w:val="center"/>
          </w:tcPr>
          <w:p>
            <w:pPr>
              <w:pStyle w:val="TableContents"/>
              <w:bidi w:val="0"/>
              <w:spacing w:before="0" w:after="283"/>
              <w:jc w:val="left"/>
              <w:rPr>
                <w:b/>
              </w:rPr>
            </w:pPr>
            <w:r>
              <w:rPr>
                <w:b/>
              </w:rPr>
              <w:t>16.</w:t>
            </w:r>
          </w:p>
        </w:tc>
        <w:tc>
          <w:tcPr>
            <w:tcW w:w="7670" w:type="dxa"/>
            <w:tcBorders/>
            <w:vAlign w:val="center"/>
          </w:tcPr>
          <w:p>
            <w:pPr>
              <w:pStyle w:val="TableContents"/>
              <w:bidi w:val="0"/>
              <w:spacing w:before="0" w:after="0"/>
              <w:jc w:val="left"/>
              <w:rPr>
                <w:b/>
              </w:rPr>
            </w:pPr>
            <w:r>
              <w:rPr>
                <w:b/>
              </w:rPr>
              <w:t>I’m currently on a work visa. How does this impact my immigration status?</w:t>
            </w:r>
          </w:p>
        </w:tc>
      </w:tr>
    </w:tbl>
    <w:p>
      <w:pPr>
        <w:pStyle w:val="Normal"/>
        <w:bidi w:val="0"/>
        <w:spacing w:before="0" w:after="0"/>
        <w:jc w:val="left"/>
        <w:rPr>
          <w:sz w:val="4"/>
          <w:szCs w:val="4"/>
        </w:rPr>
      </w:pPr>
      <w:r>
        <w:rPr>
          <w:sz w:val="4"/>
          <w:szCs w:val="4"/>
        </w:rPr>
      </w:r>
      <w:bookmarkStart w:id="130" w:name="za4383977d57a43a591cdaa6e21b08dfa"/>
      <w:bookmarkStart w:id="131" w:name="za4383977d57a43a591cdaa6e21b08dfa"/>
      <w:bookmarkEnd w:id="13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There are no expected changes to your employment or immigration status as a result of this announcement, and the transaction should not impact your visa status.</w:t>
            </w:r>
          </w:p>
        </w:tc>
      </w:tr>
    </w:tbl>
    <w:p>
      <w:pPr>
        <w:pStyle w:val="Normal"/>
        <w:bidi w:val="0"/>
        <w:spacing w:before="0" w:after="0"/>
        <w:jc w:val="left"/>
        <w:rPr>
          <w:sz w:val="4"/>
          <w:szCs w:val="4"/>
        </w:rPr>
      </w:pPr>
      <w:r>
        <w:rPr>
          <w:sz w:val="4"/>
          <w:szCs w:val="4"/>
        </w:rPr>
      </w:r>
      <w:bookmarkStart w:id="132" w:name="zf49c4d92eadd4f9091c2cdd7bf7f05b8"/>
      <w:bookmarkStart w:id="133" w:name="zf49c4d92eadd4f9091c2cdd7bf7f05b8"/>
      <w:bookmarkEnd w:id="133"/>
    </w:p>
    <w:tbl>
      <w:tblPr>
        <w:tblW w:w="9483" w:type="dxa"/>
        <w:jc w:val="left"/>
        <w:tblInd w:w="0" w:type="dxa"/>
        <w:tblLayout w:type="fixed"/>
        <w:tblCellMar>
          <w:top w:w="0" w:type="dxa"/>
          <w:left w:w="0" w:type="dxa"/>
          <w:bottom w:w="0" w:type="dxa"/>
          <w:right w:w="0" w:type="dxa"/>
        </w:tblCellMar>
      </w:tblPr>
      <w:tblGrid>
        <w:gridCol w:w="38"/>
        <w:gridCol w:w="110"/>
        <w:gridCol w:w="9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0"/>
              <w:jc w:val="left"/>
              <w:rPr/>
            </w:pPr>
            <w:r>
              <w:rPr/>
              <w:t>If your employment status changes, we will provide further information on the impact to your visa.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4" w:name="z968781a518c84744af6c8ff09351079d"/>
      <w:bookmarkStart w:id="135" w:name="z968781a518c84744af6c8ff09351079d"/>
      <w:bookmarkEnd w:id="135"/>
    </w:p>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b/>
              </w:rPr>
            </w:pPr>
            <w:r>
              <w:rPr>
                <w:b/>
              </w:rPr>
              <w:t>17.</w:t>
            </w:r>
          </w:p>
        </w:tc>
        <w:tc>
          <w:tcPr>
            <w:tcW w:w="9877" w:type="dxa"/>
            <w:tcBorders/>
            <w:vAlign w:val="center"/>
          </w:tcPr>
          <w:p>
            <w:pPr>
              <w:pStyle w:val="TableContents"/>
              <w:bidi w:val="0"/>
              <w:spacing w:before="0" w:after="0"/>
              <w:jc w:val="left"/>
              <w:rPr>
                <w:b/>
              </w:rPr>
            </w:pPr>
            <w:r>
              <w:rPr>
                <w:b/>
              </w:rPr>
              <w:t>What should I do if I am approached by the media, shareholders, financial analysts or another third party?</w:t>
            </w:r>
          </w:p>
        </w:tc>
      </w:tr>
    </w:tbl>
    <w:p>
      <w:pPr>
        <w:pStyle w:val="Normal"/>
        <w:bidi w:val="0"/>
        <w:spacing w:before="0" w:after="0"/>
        <w:jc w:val="left"/>
        <w:rPr>
          <w:sz w:val="4"/>
          <w:szCs w:val="4"/>
        </w:rPr>
      </w:pPr>
      <w:r>
        <w:rPr>
          <w:sz w:val="4"/>
          <w:szCs w:val="4"/>
        </w:rPr>
      </w:r>
      <w:bookmarkStart w:id="136" w:name="z605fd5e677b448ca90861a800fa4b51d"/>
      <w:bookmarkStart w:id="137" w:name="z605fd5e677b448ca90861a800fa4b51d"/>
      <w:bookmarkEnd w:id="1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As always, if you receive any external inquiries, please direct them to Noel Kurdi, Vice President of Investor Relations.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38" w:name="za931eaff439b412eb89e4f47b94d9737"/>
      <w:bookmarkStart w:id="139" w:name="za931eaff439b412eb89e4f47b94d9737"/>
      <w:bookmarkEnd w:id="139"/>
    </w:p>
    <w:tbl>
      <w:tblPr>
        <w:tblW w:w="5380" w:type="dxa"/>
        <w:jc w:val="left"/>
        <w:tblInd w:w="0" w:type="dxa"/>
        <w:tblLayout w:type="fixed"/>
        <w:tblCellMar>
          <w:top w:w="0" w:type="dxa"/>
          <w:left w:w="0" w:type="dxa"/>
          <w:bottom w:w="0" w:type="dxa"/>
          <w:right w:w="0" w:type="dxa"/>
        </w:tblCellMar>
      </w:tblPr>
      <w:tblGrid>
        <w:gridCol w:w="335"/>
        <w:gridCol w:w="5045"/>
      </w:tblGrid>
      <w:tr>
        <w:trPr/>
        <w:tc>
          <w:tcPr>
            <w:tcW w:w="335" w:type="dxa"/>
            <w:tcBorders/>
            <w:vAlign w:val="center"/>
          </w:tcPr>
          <w:p>
            <w:pPr>
              <w:pStyle w:val="TableContents"/>
              <w:bidi w:val="0"/>
              <w:spacing w:before="0" w:after="283"/>
              <w:jc w:val="left"/>
              <w:rPr>
                <w:b/>
              </w:rPr>
            </w:pPr>
            <w:r>
              <w:rPr>
                <w:b/>
              </w:rPr>
              <w:t>18.</w:t>
            </w:r>
          </w:p>
        </w:tc>
        <w:tc>
          <w:tcPr>
            <w:tcW w:w="5045" w:type="dxa"/>
            <w:tcBorders/>
            <w:vAlign w:val="center"/>
          </w:tcPr>
          <w:p>
            <w:pPr>
              <w:pStyle w:val="TableContents"/>
              <w:bidi w:val="0"/>
              <w:spacing w:before="0" w:after="0"/>
              <w:jc w:val="left"/>
              <w:rPr>
                <w:b/>
              </w:rPr>
            </w:pPr>
            <w:r>
              <w:rPr>
                <w:b/>
              </w:rPr>
              <w:t>Can I post about the transaction on social media?</w:t>
            </w:r>
          </w:p>
        </w:tc>
      </w:tr>
    </w:tbl>
    <w:p>
      <w:pPr>
        <w:pStyle w:val="Normal"/>
        <w:bidi w:val="0"/>
        <w:spacing w:before="0" w:after="0"/>
        <w:jc w:val="left"/>
        <w:rPr>
          <w:sz w:val="4"/>
          <w:szCs w:val="4"/>
        </w:rPr>
      </w:pPr>
      <w:r>
        <w:rPr>
          <w:sz w:val="4"/>
          <w:szCs w:val="4"/>
        </w:rPr>
      </w:r>
      <w:bookmarkStart w:id="140" w:name="z57ac05ee458045dcb482b77d564b1236"/>
      <w:bookmarkStart w:id="141" w:name="z57ac05ee458045dcb482b77d564b1236"/>
      <w:bookmarkEnd w:id="1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ask that you do not post, re-post third parties, “like” or comment on anything posted about this announcement on social media other than “liking” or re-posting Apogee’s official posts without commentary.</w:t>
            </w:r>
          </w:p>
        </w:tc>
      </w:tr>
    </w:tbl>
    <w:p>
      <w:pPr>
        <w:pStyle w:val="Normal"/>
        <w:bidi w:val="0"/>
        <w:spacing w:before="0" w:after="0"/>
        <w:jc w:val="left"/>
        <w:rPr>
          <w:sz w:val="4"/>
          <w:szCs w:val="4"/>
        </w:rPr>
      </w:pPr>
      <w:r>
        <w:rPr>
          <w:sz w:val="4"/>
          <w:szCs w:val="4"/>
        </w:rPr>
      </w:r>
      <w:bookmarkStart w:id="142" w:name="zb9081ba3b9434eda834a8415b2f41a78"/>
      <w:bookmarkStart w:id="143" w:name="zb9081ba3b9434eda834a8415b2f41a78"/>
      <w:bookmarkEnd w:id="1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Public-company transactions are regulated by the U.S. Securities and Exchange Commission. Because we are all employees of Apogee, anything that we, as individuals, say publicly about the transaction could be attributed to the company and become subject to requirements under U.S. securities laws.</w:t>
            </w:r>
          </w:p>
        </w:tc>
      </w:tr>
    </w:tbl>
    <w:p>
      <w:pPr>
        <w:pStyle w:val="Normal"/>
        <w:bidi w:val="0"/>
        <w:spacing w:before="0" w:after="0"/>
        <w:jc w:val="left"/>
        <w:rPr>
          <w:sz w:val="4"/>
          <w:szCs w:val="4"/>
        </w:rPr>
      </w:pPr>
      <w:r>
        <w:rPr>
          <w:sz w:val="4"/>
          <w:szCs w:val="4"/>
        </w:rPr>
      </w:r>
      <w:bookmarkStart w:id="144" w:name="z2e2094cea1b1446694afb78e7a002138"/>
      <w:bookmarkStart w:id="145" w:name="z2e2094cea1b1446694afb78e7a002138"/>
      <w:bookmarkEnd w:id="14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For that reason, all communications about the transaction must come from designated company spokespeople and follow approved messaging.</w:t>
            </w:r>
          </w:p>
        </w:tc>
      </w:tr>
    </w:tbl>
    <w:p>
      <w:pPr>
        <w:pStyle w:val="Normal"/>
        <w:bidi w:val="0"/>
        <w:spacing w:before="0" w:after="0"/>
        <w:jc w:val="left"/>
        <w:rPr>
          <w:sz w:val="4"/>
          <w:szCs w:val="4"/>
        </w:rPr>
      </w:pPr>
      <w:r>
        <w:rPr>
          <w:sz w:val="4"/>
          <w:szCs w:val="4"/>
        </w:rPr>
      </w:r>
      <w:bookmarkStart w:id="146" w:name="z8f6be1368b134bbb9c69d02dfe90415c"/>
      <w:bookmarkStart w:id="147" w:name="z8f6be1368b134bbb9c69d02dfe90415c"/>
      <w:bookmarkEnd w:id="14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This policy is not intended to restrict communications or actions protected or required by federal, state or local law, or to prevent employees from engaging in legally protected activities or exercising any rights that they may have under Section 7 of the National Labor Relations Act.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8" w:name="z2e7c1c20f6a146839f92e70ed7c38d9a"/>
      <w:bookmarkStart w:id="149" w:name="z2e7c1c20f6a146839f92e70ed7c38d9a"/>
      <w:bookmarkEnd w:id="149"/>
    </w:p>
    <w:tbl>
      <w:tblPr>
        <w:tblW w:w="8440" w:type="dxa"/>
        <w:jc w:val="left"/>
        <w:tblInd w:w="0" w:type="dxa"/>
        <w:tblLayout w:type="fixed"/>
        <w:tblCellMar>
          <w:top w:w="0" w:type="dxa"/>
          <w:left w:w="0" w:type="dxa"/>
          <w:bottom w:w="0" w:type="dxa"/>
          <w:right w:w="0" w:type="dxa"/>
        </w:tblCellMar>
      </w:tblPr>
      <w:tblGrid>
        <w:gridCol w:w="335"/>
        <w:gridCol w:w="8105"/>
      </w:tblGrid>
      <w:tr>
        <w:trPr/>
        <w:tc>
          <w:tcPr>
            <w:tcW w:w="335" w:type="dxa"/>
            <w:tcBorders/>
            <w:vAlign w:val="center"/>
          </w:tcPr>
          <w:p>
            <w:pPr>
              <w:pStyle w:val="TableContents"/>
              <w:bidi w:val="0"/>
              <w:spacing w:before="0" w:after="283"/>
              <w:jc w:val="left"/>
              <w:rPr>
                <w:b/>
              </w:rPr>
            </w:pPr>
            <w:r>
              <w:rPr>
                <w:b/>
              </w:rPr>
              <w:t>19.</w:t>
            </w:r>
          </w:p>
        </w:tc>
        <w:tc>
          <w:tcPr>
            <w:tcW w:w="8105" w:type="dxa"/>
            <w:tcBorders/>
            <w:vAlign w:val="center"/>
          </w:tcPr>
          <w:p>
            <w:pPr>
              <w:pStyle w:val="TableContents"/>
              <w:bidi w:val="0"/>
              <w:spacing w:before="0" w:after="0"/>
              <w:jc w:val="left"/>
              <w:rPr>
                <w:b/>
              </w:rPr>
            </w:pPr>
            <w:r>
              <w:rPr>
                <w:b/>
              </w:rPr>
              <w:t>What should we say to third party vendors and partners about the transaction?</w:t>
            </w:r>
          </w:p>
        </w:tc>
      </w:tr>
    </w:tbl>
    <w:p>
      <w:pPr>
        <w:pStyle w:val="Normal"/>
        <w:bidi w:val="0"/>
        <w:spacing w:before="0" w:after="0"/>
        <w:jc w:val="left"/>
        <w:rPr>
          <w:sz w:val="4"/>
          <w:szCs w:val="4"/>
        </w:rPr>
      </w:pPr>
      <w:r>
        <w:rPr>
          <w:sz w:val="4"/>
          <w:szCs w:val="4"/>
        </w:rPr>
      </w:r>
      <w:bookmarkStart w:id="150" w:name="z2917f23fe25446e09ac562de3f500472"/>
      <w:bookmarkStart w:id="151" w:name="z2917f23fe25446e09ac562de3f500472"/>
      <w:bookmarkEnd w:id="15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have prepared approved language to use with our third-party partners and vendors, including KOLs and Principal Investigators, and will share this language with relevant team members shortly.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2" w:name="z0656465367cb4fa7a6e591c717e76940"/>
      <w:bookmarkStart w:id="153" w:name="z0656465367cb4fa7a6e591c717e76940"/>
      <w:bookmarkEnd w:id="153"/>
    </w:p>
    <w:tbl>
      <w:tblPr>
        <w:tblW w:w="9100" w:type="dxa"/>
        <w:jc w:val="left"/>
        <w:tblInd w:w="0" w:type="dxa"/>
        <w:tblLayout w:type="fixed"/>
        <w:tblCellMar>
          <w:top w:w="0" w:type="dxa"/>
          <w:left w:w="0" w:type="dxa"/>
          <w:bottom w:w="0" w:type="dxa"/>
          <w:right w:w="0" w:type="dxa"/>
        </w:tblCellMar>
      </w:tblPr>
      <w:tblGrid>
        <w:gridCol w:w="335"/>
        <w:gridCol w:w="8765"/>
      </w:tblGrid>
      <w:tr>
        <w:trPr/>
        <w:tc>
          <w:tcPr>
            <w:tcW w:w="335" w:type="dxa"/>
            <w:tcBorders/>
            <w:vAlign w:val="center"/>
          </w:tcPr>
          <w:p>
            <w:pPr>
              <w:pStyle w:val="TableContents"/>
              <w:bidi w:val="0"/>
              <w:spacing w:before="0" w:after="283"/>
              <w:jc w:val="left"/>
              <w:rPr>
                <w:b/>
              </w:rPr>
            </w:pPr>
            <w:r>
              <w:rPr>
                <w:b/>
              </w:rPr>
              <w:t>20.</w:t>
            </w:r>
          </w:p>
        </w:tc>
        <w:tc>
          <w:tcPr>
            <w:tcW w:w="8765" w:type="dxa"/>
            <w:tcBorders/>
            <w:vAlign w:val="center"/>
          </w:tcPr>
          <w:p>
            <w:pPr>
              <w:pStyle w:val="TableContents"/>
              <w:bidi w:val="0"/>
              <w:spacing w:before="0" w:after="0"/>
              <w:jc w:val="left"/>
              <w:rPr>
                <w:b/>
              </w:rPr>
            </w:pPr>
            <w:r>
              <w:rPr>
                <w:b/>
              </w:rPr>
              <w:t>Are there any new processes or approvals required for vendor and partner contracts?</w:t>
            </w:r>
          </w:p>
        </w:tc>
      </w:tr>
    </w:tbl>
    <w:p>
      <w:pPr>
        <w:pStyle w:val="Normal"/>
        <w:bidi w:val="0"/>
        <w:spacing w:before="0" w:after="0"/>
        <w:jc w:val="left"/>
        <w:rPr>
          <w:sz w:val="4"/>
          <w:szCs w:val="4"/>
        </w:rPr>
      </w:pPr>
      <w:r>
        <w:rPr>
          <w:sz w:val="4"/>
          <w:szCs w:val="4"/>
        </w:rPr>
      </w:r>
      <w:bookmarkStart w:id="154" w:name="zeaf399a3e54b4e60a9109e064b477c5e"/>
      <w:bookmarkStart w:id="155" w:name="zeaf399a3e54b4e60a9109e064b477c5e"/>
      <w:bookmarkEnd w:id="15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Yes. Other than ordinary course activities, we may not enter into, amend or modify any contracts during this interim period. Additionally, we may not adopt, amend or terminate any agreements or relationships with consultants or individual service providers outside the ordinary course of business.</w:t>
            </w:r>
          </w:p>
        </w:tc>
      </w:tr>
    </w:tbl>
    <w:p>
      <w:pPr>
        <w:pStyle w:val="Normal"/>
        <w:bidi w:val="0"/>
        <w:spacing w:before="0" w:after="0"/>
        <w:jc w:val="left"/>
        <w:rPr>
          <w:sz w:val="4"/>
          <w:szCs w:val="4"/>
        </w:rPr>
      </w:pPr>
      <w:r>
        <w:rPr>
          <w:sz w:val="4"/>
          <w:szCs w:val="4"/>
        </w:rPr>
      </w:r>
      <w:bookmarkStart w:id="156" w:name="zad317fb80e39400594e0efb5ebde6701"/>
      <w:bookmarkStart w:id="157" w:name="zad317fb80e39400594e0efb5ebde6701"/>
      <w:bookmarkEnd w:id="157"/>
    </w:p>
    <w:tbl>
      <w:tblPr>
        <w:tblW w:w="8103" w:type="dxa"/>
        <w:jc w:val="left"/>
        <w:tblInd w:w="0" w:type="dxa"/>
        <w:tblLayout w:type="fixed"/>
        <w:tblCellMar>
          <w:top w:w="0" w:type="dxa"/>
          <w:left w:w="0" w:type="dxa"/>
          <w:bottom w:w="0" w:type="dxa"/>
          <w:right w:w="0" w:type="dxa"/>
        </w:tblCellMar>
      </w:tblPr>
      <w:tblGrid>
        <w:gridCol w:w="38"/>
        <w:gridCol w:w="110"/>
        <w:gridCol w:w="7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0"/>
              <w:jc w:val="left"/>
              <w:rPr/>
            </w:pPr>
            <w:r>
              <w:rPr/>
              <w:t>Please reach out to Matt Batters and Gabi White in Legal if you have any questions.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8" w:name="zd4570237222b4c2e8e8037a29b9e2cca"/>
      <w:bookmarkStart w:id="159" w:name="zd4570237222b4c2e8e8037a29b9e2cca"/>
      <w:bookmarkEnd w:id="159"/>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sz w:val="16"/>
              </w:rPr>
            </w:pPr>
            <w:r>
              <w:rPr>
                <w:b/>
                <w:i w:val="false"/>
                <w:caps w:val="false"/>
                <w:smallCaps w:val="false"/>
                <w:color w:val="000000"/>
                <w:sz w:val="16"/>
              </w:rPr>
              <w:t>Page 3 of 6</w:t>
            </w:r>
            <w:r>
              <w:rPr>
                <w:b/>
                <w:sz w:val="16"/>
              </w:rPr>
              <w:t xml:space="preserve"> </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3209925" cy="9239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3209925" cy="923925"/>
                    </a:xfrm>
                    <a:prstGeom prst="rect">
                      <a:avLst/>
                    </a:prstGeom>
                  </pic:spPr>
                </pic:pic>
              </a:graphicData>
            </a:graphic>
          </wp:inline>
        </w:drawing>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0" w:name="ze3c58ace163546b993f54094fc5371f0"/>
      <w:bookmarkStart w:id="161" w:name="ze3c58ace163546b993f54094fc5371f0"/>
      <w:bookmarkEnd w:id="161"/>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b/>
              </w:rPr>
            </w:pPr>
            <w:r>
              <w:rPr>
                <w:b/>
              </w:rPr>
              <w:t>21.</w:t>
            </w:r>
          </w:p>
        </w:tc>
        <w:tc>
          <w:tcPr>
            <w:tcW w:w="9882" w:type="dxa"/>
            <w:tcBorders/>
            <w:vAlign w:val="center"/>
          </w:tcPr>
          <w:p>
            <w:pPr>
              <w:pStyle w:val="TableContents"/>
              <w:bidi w:val="0"/>
              <w:spacing w:before="0" w:after="0"/>
              <w:jc w:val="left"/>
              <w:rPr>
                <w:b/>
              </w:rPr>
            </w:pPr>
            <w:r>
              <w:rPr>
                <w:b/>
              </w:rPr>
              <w:t>I am currently on a leave of absence (FMLA, STD, LTD, Parental) from Apogee. What happens to my status at close?</w:t>
            </w:r>
          </w:p>
        </w:tc>
      </w:tr>
    </w:tbl>
    <w:p>
      <w:pPr>
        <w:pStyle w:val="Normal"/>
        <w:bidi w:val="0"/>
        <w:spacing w:before="0" w:after="0"/>
        <w:jc w:val="left"/>
        <w:rPr>
          <w:sz w:val="4"/>
          <w:szCs w:val="4"/>
        </w:rPr>
      </w:pPr>
      <w:r>
        <w:rPr>
          <w:sz w:val="4"/>
          <w:szCs w:val="4"/>
        </w:rPr>
      </w:r>
      <w:bookmarkStart w:id="162" w:name="z6b08ece0adbe43aea9886dcc53df1779"/>
      <w:bookmarkStart w:id="163" w:name="z6b08ece0adbe43aea9886dcc53df1779"/>
      <w:bookmarkEnd w:id="16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You remain eligible for the leave of absence that was previously approved for the duration of the leave. You will return to either your previous position or an equivalent position when your leave is over.</w:t>
            </w:r>
          </w:p>
        </w:tc>
      </w:tr>
    </w:tbl>
    <w:p>
      <w:pPr>
        <w:pStyle w:val="TextBody"/>
        <w:bidi w:val="0"/>
        <w:spacing w:before="0" w:after="0"/>
        <w:ind w:left="720" w:right="0" w:hanging="0"/>
        <w:jc w:val="left"/>
        <w:rPr/>
      </w:pPr>
      <w:r>
        <w:rPr/>
      </w:r>
    </w:p>
    <w:p>
      <w:pPr>
        <w:pStyle w:val="Normal"/>
        <w:bidi w:val="0"/>
        <w:spacing w:before="0" w:after="0"/>
        <w:jc w:val="left"/>
        <w:rPr>
          <w:sz w:val="4"/>
          <w:szCs w:val="4"/>
        </w:rPr>
      </w:pPr>
      <w:r>
        <w:rPr>
          <w:sz w:val="4"/>
          <w:szCs w:val="4"/>
        </w:rPr>
      </w:r>
      <w:bookmarkStart w:id="164" w:name="zcccb7ddbab414306bd498d83780f9676"/>
      <w:bookmarkStart w:id="165" w:name="zcccb7ddbab414306bd498d83780f9676"/>
      <w:bookmarkEnd w:id="165"/>
    </w:p>
    <w:tbl>
      <w:tblPr>
        <w:tblW w:w="8935" w:type="dxa"/>
        <w:jc w:val="left"/>
        <w:tblInd w:w="0" w:type="dxa"/>
        <w:tblLayout w:type="fixed"/>
        <w:tblCellMar>
          <w:top w:w="0" w:type="dxa"/>
          <w:left w:w="0" w:type="dxa"/>
          <w:bottom w:w="0" w:type="dxa"/>
          <w:right w:w="0" w:type="dxa"/>
        </w:tblCellMar>
      </w:tblPr>
      <w:tblGrid>
        <w:gridCol w:w="335"/>
        <w:gridCol w:w="8600"/>
      </w:tblGrid>
      <w:tr>
        <w:trPr/>
        <w:tc>
          <w:tcPr>
            <w:tcW w:w="335" w:type="dxa"/>
            <w:tcBorders/>
            <w:vAlign w:val="center"/>
          </w:tcPr>
          <w:p>
            <w:pPr>
              <w:pStyle w:val="TableContents"/>
              <w:bidi w:val="0"/>
              <w:spacing w:before="0" w:after="283"/>
              <w:jc w:val="left"/>
              <w:rPr>
                <w:b/>
              </w:rPr>
            </w:pPr>
            <w:r>
              <w:rPr>
                <w:b/>
              </w:rPr>
              <w:t>22.</w:t>
            </w:r>
          </w:p>
        </w:tc>
        <w:tc>
          <w:tcPr>
            <w:tcW w:w="8600" w:type="dxa"/>
            <w:tcBorders/>
            <w:vAlign w:val="center"/>
          </w:tcPr>
          <w:p>
            <w:pPr>
              <w:pStyle w:val="TableContents"/>
              <w:bidi w:val="0"/>
              <w:spacing w:before="0" w:after="0"/>
              <w:jc w:val="left"/>
              <w:rPr>
                <w:b/>
              </w:rPr>
            </w:pPr>
            <w:r>
              <w:rPr>
                <w:b/>
              </w:rPr>
              <w:t>I have a leave that is planned after the close date. Will I still be eligible for that leave?</w:t>
            </w:r>
          </w:p>
        </w:tc>
      </w:tr>
    </w:tbl>
    <w:p>
      <w:pPr>
        <w:pStyle w:val="Normal"/>
        <w:bidi w:val="0"/>
        <w:spacing w:before="0" w:after="0"/>
        <w:jc w:val="left"/>
        <w:rPr>
          <w:sz w:val="4"/>
          <w:szCs w:val="4"/>
        </w:rPr>
      </w:pPr>
      <w:r>
        <w:rPr>
          <w:sz w:val="4"/>
          <w:szCs w:val="4"/>
        </w:rPr>
      </w:r>
      <w:bookmarkStart w:id="166" w:name="ze6777036f2ac4560a9019962c6fc2a23"/>
      <w:bookmarkStart w:id="167" w:name="ze6777036f2ac4560a9019962c6fc2a23"/>
      <w:bookmarkEnd w:id="1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You will be eligible to apply for a leave of absence while you are actively employed by either Apogee or AbbVie.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8" w:name="z451da7b479924c0da736a52fa1acc17e"/>
      <w:bookmarkStart w:id="169" w:name="z451da7b479924c0da736a52fa1acc17e"/>
      <w:bookmarkEnd w:id="169"/>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283"/>
              <w:jc w:val="left"/>
              <w:rPr>
                <w:b/>
              </w:rPr>
            </w:pPr>
            <w:r>
              <w:rPr>
                <w:b/>
              </w:rPr>
              <w:t>23.</w:t>
            </w:r>
          </w:p>
        </w:tc>
        <w:tc>
          <w:tcPr>
            <w:tcW w:w="1970" w:type="dxa"/>
            <w:tcBorders/>
            <w:vAlign w:val="center"/>
          </w:tcPr>
          <w:p>
            <w:pPr>
              <w:pStyle w:val="TableContents"/>
              <w:bidi w:val="0"/>
              <w:spacing w:before="0" w:after="0"/>
              <w:jc w:val="left"/>
              <w:rPr>
                <w:b/>
              </w:rPr>
            </w:pPr>
            <w:r>
              <w:rPr>
                <w:b/>
              </w:rPr>
              <w:t>Are we still hiring?</w:t>
            </w:r>
          </w:p>
        </w:tc>
      </w:tr>
    </w:tbl>
    <w:p>
      <w:pPr>
        <w:pStyle w:val="Normal"/>
        <w:bidi w:val="0"/>
        <w:spacing w:before="0" w:after="0"/>
        <w:jc w:val="left"/>
        <w:rPr>
          <w:sz w:val="4"/>
          <w:szCs w:val="4"/>
        </w:rPr>
      </w:pPr>
      <w:r>
        <w:rPr>
          <w:sz w:val="4"/>
          <w:szCs w:val="4"/>
        </w:rPr>
      </w:r>
      <w:bookmarkStart w:id="170" w:name="z19c4588922f54ed691cdb2069bd7ffe4"/>
      <w:bookmarkStart w:id="171" w:name="z19c4588922f54ed691cdb2069bd7ffe4"/>
      <w:bookmarkEnd w:id="1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will be pausing hiring until the transaction closes. We will honor all current fully executed offers, including individuals whose start date is in the future.</w:t>
            </w:r>
          </w:p>
        </w:tc>
      </w:tr>
    </w:tbl>
    <w:p>
      <w:pPr>
        <w:pStyle w:val="Normal"/>
        <w:bidi w:val="0"/>
        <w:spacing w:before="0" w:after="0"/>
        <w:jc w:val="left"/>
        <w:rPr>
          <w:sz w:val="4"/>
          <w:szCs w:val="4"/>
        </w:rPr>
      </w:pPr>
      <w:r>
        <w:rPr>
          <w:sz w:val="4"/>
          <w:szCs w:val="4"/>
        </w:rPr>
      </w:r>
      <w:bookmarkStart w:id="172" w:name="zcbe9285a162044a0bcdd7a3a0ec1b97f"/>
      <w:bookmarkStart w:id="173" w:name="zcbe9285a162044a0bcdd7a3a0ec1b97f"/>
      <w:bookmarkEnd w:id="1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People team will be reaching out to individuals with signed offers who have not yet started later today.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4" w:name="z6a9b1c97ea3d4712ba8f73b2dc05939d"/>
      <w:bookmarkStart w:id="175" w:name="z6a9b1c97ea3d4712ba8f73b2dc05939d"/>
      <w:bookmarkEnd w:id="175"/>
    </w:p>
    <w:tbl>
      <w:tblPr>
        <w:tblW w:w="4555" w:type="dxa"/>
        <w:jc w:val="left"/>
        <w:tblInd w:w="0" w:type="dxa"/>
        <w:tblLayout w:type="fixed"/>
        <w:tblCellMar>
          <w:top w:w="0" w:type="dxa"/>
          <w:left w:w="0" w:type="dxa"/>
          <w:bottom w:w="0" w:type="dxa"/>
          <w:right w:w="0" w:type="dxa"/>
        </w:tblCellMar>
      </w:tblPr>
      <w:tblGrid>
        <w:gridCol w:w="335"/>
        <w:gridCol w:w="4220"/>
      </w:tblGrid>
      <w:tr>
        <w:trPr/>
        <w:tc>
          <w:tcPr>
            <w:tcW w:w="335" w:type="dxa"/>
            <w:tcBorders/>
            <w:vAlign w:val="center"/>
          </w:tcPr>
          <w:p>
            <w:pPr>
              <w:pStyle w:val="TableContents"/>
              <w:bidi w:val="0"/>
              <w:spacing w:before="0" w:after="283"/>
              <w:jc w:val="left"/>
              <w:rPr>
                <w:b/>
              </w:rPr>
            </w:pPr>
            <w:r>
              <w:rPr>
                <w:b/>
              </w:rPr>
              <w:t>24.</w:t>
            </w:r>
          </w:p>
        </w:tc>
        <w:tc>
          <w:tcPr>
            <w:tcW w:w="4220" w:type="dxa"/>
            <w:tcBorders/>
            <w:vAlign w:val="center"/>
          </w:tcPr>
          <w:p>
            <w:pPr>
              <w:pStyle w:val="TableContents"/>
              <w:bidi w:val="0"/>
              <w:spacing w:before="0" w:after="0"/>
              <w:jc w:val="left"/>
              <w:rPr>
                <w:b/>
              </w:rPr>
            </w:pPr>
            <w:r>
              <w:rPr>
                <w:b/>
              </w:rPr>
              <w:t>Who should I contact if I have questions?</w:t>
            </w:r>
          </w:p>
        </w:tc>
      </w:tr>
    </w:tbl>
    <w:p>
      <w:pPr>
        <w:pStyle w:val="Normal"/>
        <w:bidi w:val="0"/>
        <w:spacing w:before="0" w:after="0"/>
        <w:jc w:val="left"/>
        <w:rPr>
          <w:sz w:val="4"/>
          <w:szCs w:val="4"/>
        </w:rPr>
      </w:pPr>
      <w:r>
        <w:rPr>
          <w:sz w:val="4"/>
          <w:szCs w:val="4"/>
        </w:rPr>
      </w:r>
      <w:bookmarkStart w:id="176" w:name="z247c064a613d4b6882c4b4e1869aa36d"/>
      <w:bookmarkStart w:id="177" w:name="z247c064a613d4b6882c4b4e1869aa36d"/>
      <w:bookmarkEnd w:id="17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We will be setting up an integration questions mailbox shortly. In the meantime, if you have additional questions about this announcement, please reach out to Emily Cox.</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8" w:name="z2d85b1eff6094e32aa97239d107a378a"/>
      <w:bookmarkStart w:id="179" w:name="z2d85b1eff6094e32aa97239d107a378a"/>
      <w:bookmarkEnd w:id="179"/>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sz w:val="16"/>
              </w:rPr>
            </w:pPr>
            <w:r>
              <w:rPr>
                <w:b/>
                <w:i w:val="false"/>
                <w:caps w:val="false"/>
                <w:smallCaps w:val="false"/>
                <w:color w:val="000000"/>
                <w:sz w:val="16"/>
              </w:rPr>
              <w:t>Page 4 of 6</w:t>
            </w:r>
            <w:r>
              <w:rPr>
                <w:b/>
                <w:sz w:val="16"/>
              </w:rPr>
              <w:t xml:space="preserve"> </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3209925" cy="923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8"/>
                    <a:stretch>
                      <a:fillRect/>
                    </a:stretch>
                  </pic:blipFill>
                  <pic:spPr bwMode="auto">
                    <a:xfrm>
                      <a:off x="0" y="0"/>
                      <a:ext cx="3209925" cy="92392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0" w:name="z9dea1ee2c20a470fa678f7ca6868adf11"/>
      <w:bookmarkStart w:id="181" w:name="z9dea1ee2c20a470fa678f7ca6868adf11"/>
      <w:bookmarkEnd w:id="181"/>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sz w:val="16"/>
              </w:rPr>
            </w:pPr>
            <w:r>
              <w:rPr>
                <w:b/>
                <w:i w:val="false"/>
                <w:caps w:val="false"/>
                <w:smallCaps w:val="false"/>
                <w:color w:val="000000"/>
                <w:sz w:val="16"/>
              </w:rPr>
              <w:t>Page 5 of 6</w:t>
            </w:r>
            <w:r>
              <w:rPr>
                <w:b/>
                <w:sz w:val="16"/>
              </w:rPr>
              <w:t xml:space="preserve"> </w:t>
            </w:r>
          </w:p>
        </w:tc>
      </w:tr>
    </w:tbl>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3209925" cy="923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9"/>
                    <a:stretch>
                      <a:fillRect/>
                    </a:stretch>
                  </pic:blipFill>
                  <pic:spPr bwMode="auto">
                    <a:xfrm>
                      <a:off x="0" y="0"/>
                      <a:ext cx="3209925" cy="923925"/>
                    </a:xfrm>
                    <a:prstGeom prst="rect">
                      <a:avLst/>
                    </a:prstGeom>
                  </pic:spPr>
                </pic:pic>
              </a:graphicData>
            </a:graphic>
          </wp:inline>
        </w:drawing>
      </w:r>
    </w:p>
    <w:p>
      <w:pPr>
        <w:pStyle w:val="TextBody"/>
        <w:bidi w:val="0"/>
        <w:spacing w:before="0" w:after="0"/>
        <w:jc w:val="left"/>
        <w:rPr>
          <w:b/>
        </w:rPr>
      </w:pPr>
      <w:r>
        <w:rPr>
          <w:b/>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20">
        <w:r>
          <w:rPr>
            <w:rStyle w:val="InternetLink"/>
          </w:rPr>
          <w:t>April 24, 2026</w:t>
        </w:r>
      </w:hyperlink>
      <w:r>
        <w:rPr>
          <w:rFonts w:ascii="Times New Roman" w:hAnsi="Times New Roman"/>
          <w:color w:val="000000"/>
          <w:sz w:val="20"/>
        </w:rPr>
        <w:t xml:space="preserve">, and in Apogee’s Current Reports on Form 8-K, filed with the SEC on </w:t>
      </w:r>
      <w:hyperlink r:id="rId21">
        <w:r>
          <w:rPr>
            <w:rStyle w:val="InternetLink"/>
          </w:rPr>
          <w:t>April 24, 2026</w:t>
        </w:r>
      </w:hyperlink>
      <w:r>
        <w:rPr>
          <w:rFonts w:ascii="Times New Roman" w:hAnsi="Times New Roman"/>
          <w:color w:val="000000"/>
          <w:sz w:val="20"/>
        </w:rPr>
        <w:t xml:space="preserve"> and </w:t>
      </w:r>
      <w:hyperlink r:id="rId22">
        <w:r>
          <w:rPr>
            <w:rStyle w:val="InternetLink"/>
          </w:rPr>
          <w:t>June 12, 2026</w:t>
        </w:r>
      </w:hyperlink>
      <w:r>
        <w:rPr>
          <w:rFonts w:ascii="Times New Roman" w:hAnsi="Times New Roman"/>
          <w:color w:val="000000"/>
          <w:sz w:val="20"/>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23">
        <w:r>
          <w:rPr>
            <w:rStyle w:val="InternetLink"/>
          </w:rPr>
          <w:t>March 23, 2026</w:t>
        </w:r>
      </w:hyperlink>
      <w:r>
        <w:rPr>
          <w:rFonts w:ascii="Times New Roman" w:hAnsi="Times New Roman"/>
          <w:color w:val="000000"/>
          <w:sz w:val="20"/>
        </w:rPr>
        <w:t xml:space="preserve">, and in AbbVie’s Current Report on Form 8-K, filed with the SEC on </w:t>
      </w:r>
      <w:hyperlink r:id="rId24">
        <w:r>
          <w:rPr>
            <w:rStyle w:val="InternetLink"/>
          </w:rPr>
          <w:t>May 12, 2026</w:t>
        </w:r>
      </w:hyperlink>
      <w:r>
        <w:rPr>
          <w:rFonts w:ascii="Times New Roman" w:hAnsi="Times New Roman"/>
          <w:color w:val="000000"/>
          <w:sz w:val="20"/>
        </w:rPr>
        <w:t xml:space="preserve">.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r>
        <w:rPr>
          <w:rFonts w:ascii="Times New Roman" w:hAnsi="Times New Roman"/>
          <w:color w:val="000000"/>
          <w:sz w:val="20"/>
        </w:rPr>
        <w:t xml:space="preserve"> and the Investors section of AbbVie’s website at </w:t>
      </w:r>
      <w:r>
        <w:rPr>
          <w:rFonts w:ascii="Times New Roman" w:hAnsi="Times New Roman"/>
          <w:color w:val="000000"/>
          <w:sz w:val="20"/>
          <w:u w:val="single"/>
        </w:rPr>
        <w:t>https://investors.abbvie.com</w:t>
      </w:r>
      <w:r>
        <w:rPr>
          <w:rFonts w:ascii="Times New Roman" w:hAnsi="Times New Roman"/>
          <w:color w:val="000000"/>
          <w:sz w:val="20"/>
        </w:rPr>
        <w:t>.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2" w:name="zce35c56b44a44dcea5a2db1ea1b0b66c"/>
      <w:bookmarkStart w:id="183" w:name="zce35c56b44a44dcea5a2db1ea1b0b66c"/>
      <w:bookmarkEnd w:id="183"/>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sz w:val="16"/>
              </w:rPr>
            </w:pPr>
            <w:r>
              <w:rPr>
                <w:b/>
                <w:i w:val="false"/>
                <w:caps w:val="false"/>
                <w:smallCaps w:val="false"/>
                <w:color w:val="000000"/>
                <w:sz w:val="16"/>
              </w:rPr>
              <w:t>Page 6 of 6</w:t>
            </w:r>
            <w:r>
              <w:rPr>
                <w:b/>
                <w:sz w:val="16"/>
              </w:rPr>
              <w:t xml:space="preserve"> </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Exhibit 99.3</w:t>
      </w:r>
    </w:p>
    <w:p>
      <w:pPr>
        <w:pStyle w:val="TextBody"/>
        <w:bidi w:val="0"/>
        <w:spacing w:before="0" w:after="0"/>
        <w:jc w:val="left"/>
        <w:rPr>
          <w:b/>
        </w:rPr>
      </w:pPr>
      <w:r>
        <w:rPr>
          <w:b/>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Partner &amp; Vendor Email</w:t>
      </w:r>
    </w:p>
    <w:p>
      <w:pPr>
        <w:pStyle w:val="HorizontalLine"/>
        <w:pBdr>
          <w:bottom w:val="single" w:sz="12" w:space="0" w:color="808080"/>
        </w:pBdr>
        <w:bidi w:val="0"/>
        <w:jc w:val="left"/>
        <w:rPr/>
      </w:pPr>
      <w:r>
        <w:rPr/>
      </w:r>
    </w:p>
    <w:p>
      <w:pPr>
        <w:pStyle w:val="TextBody"/>
        <w:bidi w:val="0"/>
        <w:spacing w:before="0" w:after="0"/>
        <w:jc w:val="left"/>
        <w:rPr>
          <w:b/>
        </w:rPr>
      </w:pPr>
      <w:r>
        <w:rPr>
          <w:b/>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An Important Update on the Future of Apogee Therapeutics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Valued Partner / INSERT CUSTOMARY GREETING],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Today we </w:t>
      </w:r>
      <w:r>
        <w:rPr>
          <w:rFonts w:ascii="Times New Roman" w:hAnsi="Times New Roman"/>
          <w:color w:val="000000"/>
          <w:sz w:val="20"/>
          <w:u w:val="single"/>
        </w:rPr>
        <w:t>announced</w:t>
      </w:r>
      <w:r>
        <w:rPr>
          <w:rFonts w:ascii="Times New Roman" w:hAnsi="Times New Roman"/>
          <w:color w:val="000000"/>
          <w:sz w:val="20"/>
        </w:rPr>
        <w:t xml:space="preserve"> [LINK] that Apogee Therapeutics has entered into an agreement to be acquired by AbbVie. This is an important transaction for our company as we advance our vision to reshape the standard of care for people living with inflammatory and immunological conditions.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decisions have always been grounded in a fundamental belief: </w:t>
      </w:r>
      <w:r>
        <w:rPr>
          <w:rFonts w:ascii="Times New Roman" w:hAnsi="Times New Roman"/>
          <w:b/>
          <w:color w:val="000000"/>
          <w:sz w:val="20"/>
        </w:rPr>
        <w:t xml:space="preserve">the most important thing we can do is get zumilokibart and the other therapies in our pipeline to as many patients as possible, as quickly as possible. </w:t>
      </w:r>
      <w:r>
        <w:rPr>
          <w:rFonts w:ascii="Times New Roman" w:hAnsi="Times New Roman"/>
          <w:color w:val="000000"/>
          <w:sz w:val="20"/>
        </w:rPr>
        <w:t>Our commitment to that goal was the driving force behind our decision to enter into this agreement with AbbVie. Combining our portfolio with AbbVie’s scale, resources and experience will enable us to reach more patients around the world.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expect the transaction to close in the third quarter of 2026, subject to customary closing conditions, including Apogee shareholder approval and receipt of regulatory approvals. </w:t>
      </w:r>
      <w:r>
        <w:rPr>
          <w:rFonts w:ascii="Times New Roman" w:hAnsi="Times New Roman"/>
          <w:b/>
          <w:color w:val="000000"/>
          <w:sz w:val="20"/>
        </w:rPr>
        <w:t>Until then, Apogee will continue to operate as an independent company and it remains business as usual.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There are no expected changes to our existing agreements, and your Apogee contacts remain the same.</w:t>
      </w:r>
      <w:r>
        <w:rPr>
          <w:rFonts w:ascii="Times New Roman" w:hAnsi="Times New Roman"/>
          <w:color w:val="000000"/>
          <w:sz w:val="20"/>
        </w:rPr>
        <w:t xml:space="preserve"> We will keep you informed as we move ahead and, if you have any questions in the meantime, please don’t hesitate to reach out.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appreciate the role you have played in helping us reach this milestone. Thank you for your continued partnership and support.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TITLE]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4" w:name="zdd8598402baf4cee9d770c36837d49b2"/>
      <w:bookmarkStart w:id="185" w:name="zdd8598402baf4cee9d770c36837d49b2"/>
      <w:bookmarkEnd w:id="185"/>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1 of 3 </w:t>
            </w:r>
          </w:p>
        </w:tc>
      </w:tr>
    </w:tbl>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6" w:name="z79fc44a2fbae451d9e466108aa1602c2"/>
      <w:bookmarkStart w:id="187" w:name="z79fc44a2fbae451d9e466108aa1602c2"/>
      <w:bookmarkEnd w:id="187"/>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2 of 3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25">
        <w:r>
          <w:rPr>
            <w:rStyle w:val="InternetLink"/>
          </w:rPr>
          <w:t>April 24, 2026</w:t>
        </w:r>
      </w:hyperlink>
      <w:r>
        <w:rPr>
          <w:rFonts w:ascii="Times New Roman" w:hAnsi="Times New Roman"/>
          <w:color w:val="000000"/>
          <w:sz w:val="20"/>
        </w:rPr>
        <w:t xml:space="preserve">, and in Apogee’s Current Reports on Form 8-K, filed with the SEC on </w:t>
      </w:r>
      <w:hyperlink r:id="rId26">
        <w:r>
          <w:rPr>
            <w:rStyle w:val="InternetLink"/>
          </w:rPr>
          <w:t>April 24, 2026</w:t>
        </w:r>
      </w:hyperlink>
      <w:r>
        <w:rPr>
          <w:rFonts w:ascii="Times New Roman" w:hAnsi="Times New Roman"/>
          <w:color w:val="000000"/>
          <w:sz w:val="20"/>
        </w:rPr>
        <w:t xml:space="preserve"> and </w:t>
      </w:r>
      <w:hyperlink r:id="rId27">
        <w:r>
          <w:rPr>
            <w:rStyle w:val="InternetLink"/>
          </w:rPr>
          <w:t>June 12, 2026</w:t>
        </w:r>
      </w:hyperlink>
      <w:r>
        <w:rPr>
          <w:rFonts w:ascii="Times New Roman" w:hAnsi="Times New Roman"/>
          <w:color w:val="000000"/>
          <w:sz w:val="20"/>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28">
        <w:r>
          <w:rPr>
            <w:rStyle w:val="InternetLink"/>
          </w:rPr>
          <w:t>March 23, 2026</w:t>
        </w:r>
      </w:hyperlink>
      <w:r>
        <w:rPr>
          <w:rFonts w:ascii="Times New Roman" w:hAnsi="Times New Roman"/>
          <w:color w:val="000000"/>
          <w:sz w:val="20"/>
        </w:rPr>
        <w:t xml:space="preserve">, and in AbbVie’s Current Report on Form 8-K, filed with the SEC on </w:t>
      </w:r>
      <w:hyperlink r:id="rId29">
        <w:r>
          <w:rPr>
            <w:rStyle w:val="InternetLink"/>
          </w:rPr>
          <w:t>May 12, 2026</w:t>
        </w:r>
      </w:hyperlink>
      <w:r>
        <w:rPr>
          <w:rFonts w:ascii="Times New Roman" w:hAnsi="Times New Roman"/>
          <w:color w:val="000000"/>
          <w:sz w:val="20"/>
        </w:rPr>
        <w:t xml:space="preserve">.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r>
        <w:rPr>
          <w:rFonts w:ascii="Times New Roman" w:hAnsi="Times New Roman"/>
          <w:color w:val="000000"/>
          <w:sz w:val="20"/>
        </w:rPr>
        <w:t xml:space="preserve"> and the Investors section of AbbVie’s website at </w:t>
      </w:r>
      <w:r>
        <w:rPr>
          <w:rFonts w:ascii="Times New Roman" w:hAnsi="Times New Roman"/>
          <w:color w:val="000000"/>
          <w:sz w:val="20"/>
          <w:u w:val="single"/>
        </w:rPr>
        <w:t>https://investors.abbvie.com</w:t>
      </w:r>
      <w:r>
        <w:rPr>
          <w:rFonts w:ascii="Times New Roman" w:hAnsi="Times New Roman"/>
          <w:color w:val="000000"/>
          <w:sz w:val="20"/>
        </w:rPr>
        <w:t>.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8" w:name="z54aaa3f60d124f09a17039b7e6a16666"/>
      <w:bookmarkStart w:id="189" w:name="z54aaa3f60d124f09a17039b7e6a16666"/>
      <w:bookmarkEnd w:id="189"/>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3 of 3 </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Exhibit 99.4</w:t>
      </w:r>
    </w:p>
    <w:p>
      <w:pPr>
        <w:pStyle w:val="TextBody"/>
        <w:bidi w:val="0"/>
        <w:spacing w:before="0" w:after="0"/>
        <w:jc w:val="left"/>
        <w:rPr>
          <w:b/>
        </w:rPr>
      </w:pPr>
      <w:r>
        <w:rPr>
          <w:b/>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KOL Email</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An Important Update on the Future of Apogee Therapeutics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NAME / INSERT CUSTOMARY GREETING],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Today we </w:t>
      </w:r>
      <w:r>
        <w:rPr>
          <w:rFonts w:ascii="Times New Roman" w:hAnsi="Times New Roman"/>
          <w:color w:val="000000"/>
          <w:sz w:val="20"/>
          <w:u w:val="single"/>
        </w:rPr>
        <w:t>announced</w:t>
      </w:r>
      <w:r>
        <w:rPr>
          <w:rFonts w:ascii="Times New Roman" w:hAnsi="Times New Roman"/>
          <w:color w:val="000000"/>
          <w:sz w:val="20"/>
        </w:rPr>
        <w:t xml:space="preserve"> [LINK] that Apogee Therapeutics has entered into an agreement to be acquired by AbbVie. This is an important transaction for our company as we advance our vision to reshape the standard of care for people living with inflammatory and immunological conditions.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are incredibly proud of all that we have achieved since our founding just four years ago, and </w:t>
      </w:r>
      <w:r>
        <w:rPr>
          <w:rFonts w:ascii="Times New Roman" w:hAnsi="Times New Roman"/>
          <w:b/>
          <w:color w:val="000000"/>
          <w:sz w:val="20"/>
        </w:rPr>
        <w:t>you have played an essential role in our success</w:t>
      </w:r>
      <w:r>
        <w:rPr>
          <w:rFonts w:ascii="Times New Roman" w:hAnsi="Times New Roman"/>
          <w:color w:val="000000"/>
          <w:sz w:val="20"/>
        </w:rPr>
        <w:t xml:space="preserve">. With compelling clinical data supporting zumilokibart and a differentiated portfolio, we have a strong foundation to move ahead independently. At the same time, our decisions have always been grounded in a fundamental belief: </w:t>
      </w:r>
      <w:r>
        <w:rPr>
          <w:rFonts w:ascii="Times New Roman" w:hAnsi="Times New Roman"/>
          <w:b/>
          <w:color w:val="000000"/>
          <w:sz w:val="20"/>
        </w:rPr>
        <w:t>the most important thing we can do is get zumilokibart and the other therapies in our pipeline to as many patients as possible, as quickly as possible</w:t>
      </w:r>
      <w:r>
        <w:rPr>
          <w:rFonts w:ascii="Times New Roman" w:hAnsi="Times New Roman"/>
          <w:color w:val="000000"/>
          <w:sz w:val="20"/>
        </w:rPr>
        <w:t>. Our commitment to that goal was the driving force behind our decision to enter into this agreement with AbbVie.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you may know, AbbVie is a global leader in immunology with extensive Phase 3 development and commercial capabilities. Combining our portfolio with Abbvie’s scale, resources and experience will enable us to reach more patients around the world. We are confident this is the right path forward for Apogee and the patients we seek to serve.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terms of next steps, we expect the transaction to close in the third quarter of 2026, subject to customary closing conditions, including Apogee shareholder approval and receipt of government approvals. Until then, Apogee will continue to operate as an independent company and it remains business as usual.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There are no expected changes to how we partner with you, and our teams are as focused as ever on advancing our work to improve the lives of people living with I&amp;I conditions.</w:t>
      </w:r>
      <w:r>
        <w:rPr>
          <w:rFonts w:ascii="Times New Roman" w:hAnsi="Times New Roman"/>
          <w:color w:val="000000"/>
          <w:sz w:val="20"/>
        </w:rPr>
        <w:t xml:space="preserve"> We are continuing to advance our clinical and development programs, and your Apogee contacts remain thesame. We will keep you informed as we move ahead and, if you have any questions in the meantime, please don’t hesitate to reach out.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ongoing scientific partnership and support of Apogee.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TITLE]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pStyle w:val="TextBody"/>
        <w:bidi w:val="0"/>
        <w:spacing w:before="0" w:after="0"/>
        <w:jc w:val="both"/>
        <w:rPr/>
      </w:pPr>
      <w:r>
        <w:rPr/>
      </w:r>
    </w:p>
    <w:p>
      <w:pPr>
        <w:pStyle w:val="Normal"/>
        <w:bidi w:val="0"/>
        <w:spacing w:before="0" w:after="0"/>
        <w:jc w:val="left"/>
        <w:rPr>
          <w:sz w:val="4"/>
          <w:szCs w:val="4"/>
        </w:rPr>
      </w:pPr>
      <w:r>
        <w:rPr>
          <w:sz w:val="4"/>
          <w:szCs w:val="4"/>
        </w:rPr>
      </w:r>
      <w:bookmarkStart w:id="190" w:name="z6d1edad24d8c468cb85e65cebb99a6b9"/>
      <w:bookmarkStart w:id="191" w:name="z6d1edad24d8c468cb85e65cebb99a6b9"/>
      <w:bookmarkEnd w:id="191"/>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1 of 3 </w:t>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2" w:name="z66367041806f4febac8801557a5af975"/>
      <w:bookmarkStart w:id="193" w:name="z66367041806f4febac8801557a5af975"/>
      <w:bookmarkEnd w:id="193"/>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2 of 3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bookmarkStart w:id="194" w:name="BRPFPageFooter"/>
      <w:bookmarkStart w:id="195" w:name="BRPFPageFooter"/>
      <w:bookmarkEnd w:id="19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30">
        <w:r>
          <w:rPr>
            <w:rStyle w:val="InternetLink"/>
          </w:rPr>
          <w:t>April 24, 2026</w:t>
        </w:r>
      </w:hyperlink>
      <w:r>
        <w:rPr>
          <w:rFonts w:ascii="Times New Roman" w:hAnsi="Times New Roman"/>
          <w:color w:val="000000"/>
          <w:sz w:val="20"/>
        </w:rPr>
        <w:t xml:space="preserve">, and in Apogee’s Current Reports on Form 8-K, filed with the SEC on </w:t>
      </w:r>
      <w:hyperlink r:id="rId31">
        <w:r>
          <w:rPr>
            <w:rStyle w:val="InternetLink"/>
          </w:rPr>
          <w:t>April 24, 2026</w:t>
        </w:r>
      </w:hyperlink>
      <w:r>
        <w:rPr>
          <w:rFonts w:ascii="Times New Roman" w:hAnsi="Times New Roman"/>
          <w:color w:val="000000"/>
          <w:sz w:val="20"/>
        </w:rPr>
        <w:t xml:space="preserve"> and </w:t>
      </w:r>
      <w:hyperlink r:id="rId32">
        <w:r>
          <w:rPr>
            <w:rStyle w:val="InternetLink"/>
          </w:rPr>
          <w:t>June 12, 2026</w:t>
        </w:r>
      </w:hyperlink>
      <w:r>
        <w:rPr>
          <w:rFonts w:ascii="Times New Roman" w:hAnsi="Times New Roman"/>
          <w:color w:val="000000"/>
          <w:sz w:val="20"/>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33">
        <w:r>
          <w:rPr>
            <w:rStyle w:val="InternetLink"/>
          </w:rPr>
          <w:t>March 23, 2026</w:t>
        </w:r>
      </w:hyperlink>
      <w:r>
        <w:rPr>
          <w:rFonts w:ascii="Times New Roman" w:hAnsi="Times New Roman"/>
          <w:color w:val="000000"/>
          <w:sz w:val="20"/>
        </w:rPr>
        <w:t xml:space="preserve">, and in AbbVie’s Current Report on Form 8-K, filed with the SEC on </w:t>
      </w:r>
      <w:hyperlink r:id="rId34">
        <w:r>
          <w:rPr>
            <w:rStyle w:val="InternetLink"/>
          </w:rPr>
          <w:t>May 12, 2026</w:t>
        </w:r>
      </w:hyperlink>
      <w:r>
        <w:rPr>
          <w:rFonts w:ascii="Times New Roman" w:hAnsi="Times New Roman"/>
          <w:color w:val="000000"/>
          <w:sz w:val="20"/>
        </w:rPr>
        <w:t>.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www.sec.gov or by accessing the Investors section of Apogee’s website at https://investors.apogeetherapeutics.com and the Investors section of AbbVie’s website at https://investors.abbvie.com.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6" w:name="zc6872169ca1945ab8bffbc8194c81f9f"/>
      <w:bookmarkStart w:id="197" w:name="zc6872169ca1945ab8bffbc8194c81f9f"/>
      <w:bookmarkEnd w:id="197"/>
    </w:p>
    <w:tbl>
      <w:tblPr>
        <w:tblW w:w="868" w:type="dxa"/>
        <w:jc w:val="left"/>
        <w:tblInd w:w="0" w:type="dxa"/>
        <w:tblLayout w:type="fixed"/>
        <w:tblCellMar>
          <w:top w:w="0" w:type="dxa"/>
          <w:left w:w="0" w:type="dxa"/>
          <w:bottom w:w="0" w:type="dxa"/>
          <w:right w:w="0" w:type="dxa"/>
        </w:tblCellMar>
      </w:tblPr>
      <w:tblGrid>
        <w:gridCol w:w="23"/>
        <w:gridCol w:w="845"/>
      </w:tblGrid>
      <w:tr>
        <w:trPr/>
        <w:tc>
          <w:tcPr>
            <w:tcW w:w="23" w:type="dxa"/>
            <w:tcBorders/>
            <w:vAlign w:val="center"/>
          </w:tcPr>
          <w:p>
            <w:pPr>
              <w:pStyle w:val="TableContents"/>
              <w:bidi w:val="0"/>
              <w:spacing w:before="0" w:after="283"/>
              <w:jc w:val="left"/>
              <w:rPr/>
            </w:pPr>
            <w:r>
              <w:rPr/>
            </w:r>
          </w:p>
        </w:tc>
        <w:tc>
          <w:tcPr>
            <w:tcW w:w="845"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Page 3 of 3</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Exhibit 99.5</w:t>
      </w:r>
    </w:p>
    <w:p>
      <w:pPr>
        <w:pStyle w:val="TextBody"/>
        <w:bidi w:val="0"/>
        <w:spacing w:before="0" w:after="0"/>
        <w:ind w:left="0" w:right="0" w:hanging="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Principal Investigator Email</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Subject: </w:t>
      </w:r>
      <w:r>
        <w:rPr>
          <w:rFonts w:ascii="Times New Roman" w:hAnsi="Times New Roman"/>
          <w:color w:val="000000"/>
          <w:sz w:val="20"/>
        </w:rPr>
        <w:t>An important Update on the Future of Apogee Therapeutics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NAME / INSERT CUSTOMARY GREETING],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Today we </w:t>
      </w:r>
      <w:r>
        <w:rPr>
          <w:rFonts w:ascii="Times New Roman" w:hAnsi="Times New Roman"/>
          <w:color w:val="000000"/>
          <w:sz w:val="20"/>
          <w:u w:val="single"/>
        </w:rPr>
        <w:t>announced</w:t>
      </w:r>
      <w:r>
        <w:rPr>
          <w:rFonts w:ascii="Times New Roman" w:hAnsi="Times New Roman"/>
          <w:color w:val="000000"/>
          <w:sz w:val="20"/>
        </w:rPr>
        <w:t xml:space="preserve"> [LINK] that Apogee Therapeutics has entered into an agreement to be acquired by AbbVie. This is an important transaction for our company as we advance our vision to reshape the standard of care for people living with inflammatory and immunological conditions.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are incredibly proud of all that we have achieved since our founding just four years ago, and </w:t>
      </w:r>
      <w:r>
        <w:rPr>
          <w:rFonts w:ascii="Times New Roman" w:hAnsi="Times New Roman"/>
          <w:b/>
          <w:color w:val="000000"/>
          <w:sz w:val="20"/>
        </w:rPr>
        <w:t>your commitment to advancing our clinical programs has played an essential role in our success</w:t>
      </w:r>
      <w:r>
        <w:rPr>
          <w:rFonts w:ascii="Times New Roman" w:hAnsi="Times New Roman"/>
          <w:color w:val="000000"/>
          <w:sz w:val="20"/>
        </w:rPr>
        <w:t xml:space="preserve">. With compelling clinical data supporting zumilokibart and a differentiated portfolio, we have a strong foundation to move ahead independently. At the same time, our decisions have always been grounded in a fundamental belief: </w:t>
      </w:r>
      <w:r>
        <w:rPr>
          <w:rFonts w:ascii="Times New Roman" w:hAnsi="Times New Roman"/>
          <w:b/>
          <w:color w:val="000000"/>
          <w:sz w:val="20"/>
        </w:rPr>
        <w:t>the most important thing we can do is get zumilokibart and the other therapies in our pipeline to as many patients as possible, as quickly as possible</w:t>
      </w:r>
      <w:r>
        <w:rPr>
          <w:rFonts w:ascii="Times New Roman" w:hAnsi="Times New Roman"/>
          <w:color w:val="000000"/>
          <w:sz w:val="20"/>
        </w:rPr>
        <w:t>. Our commitment to that goal was the driving force behind our decision to enter into this agreement with AbbVie.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you may know, AbbVie is a global leader in immunology with extensive Phase 3 development and commercial capabilities. Combining our portfolio with AbbVie’s scale, resources and experience will enable us to reach more patients around the world. We are confident this is the right path forward for Apogee and the patients we seek to serve.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terms of next steps, we expect the transaction to close in the third quarter of 2026, subject to customary closing conditions, including Apogee shareholder approval and receipt of regulatory approvals. Until then, Apogee will continue to operate as an independent company, and it remains business as usual.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There are no expected changes to how we partner with you, and our teams are as focused as ever on advancing our work to improve the lives of people living with I&amp;I conditions. </w:t>
      </w:r>
      <w:r>
        <w:rPr>
          <w:rFonts w:ascii="Times New Roman" w:hAnsi="Times New Roman"/>
          <w:color w:val="000000"/>
          <w:sz w:val="20"/>
        </w:rPr>
        <w:t>We are continuing to advance our clinical and development programs, and your Apogee contacts remain the same. We will keep you informed as we move ahead and, if you have any questions in the meantime, please don’t hesitate to reach out.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Thank you for your ongoing partnership and support of Apogee.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[NAME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TITLE]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8" w:name="z999a0c9680514701b05051629e4d12f3"/>
      <w:bookmarkStart w:id="199" w:name="z999a0c9680514701b05051629e4d12f3"/>
      <w:bookmarkEnd w:id="199"/>
    </w:p>
    <w:tbl>
      <w:tblPr>
        <w:tblW w:w="868" w:type="dxa"/>
        <w:jc w:val="left"/>
        <w:tblInd w:w="0" w:type="dxa"/>
        <w:tblLayout w:type="fixed"/>
        <w:tblCellMar>
          <w:top w:w="0" w:type="dxa"/>
          <w:left w:w="0" w:type="dxa"/>
          <w:bottom w:w="0" w:type="dxa"/>
          <w:right w:w="0" w:type="dxa"/>
        </w:tblCellMar>
      </w:tblPr>
      <w:tblGrid>
        <w:gridCol w:w="23"/>
        <w:gridCol w:w="845"/>
      </w:tblGrid>
      <w:tr>
        <w:trPr/>
        <w:tc>
          <w:tcPr>
            <w:tcW w:w="23" w:type="dxa"/>
            <w:tcBorders/>
            <w:vAlign w:val="center"/>
          </w:tcPr>
          <w:p>
            <w:pPr>
              <w:pStyle w:val="TableContents"/>
              <w:bidi w:val="0"/>
              <w:spacing w:before="0" w:after="283"/>
              <w:jc w:val="left"/>
              <w:rPr/>
            </w:pPr>
            <w:r>
              <w:rPr/>
            </w:r>
          </w:p>
        </w:tc>
        <w:tc>
          <w:tcPr>
            <w:tcW w:w="845"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Page 1 of 3</w:t>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0" w:name="z49442474910c45c4b717c5078dfd24f8"/>
      <w:bookmarkStart w:id="201" w:name="z49442474910c45c4b717c5078dfd24f8"/>
      <w:bookmarkEnd w:id="201"/>
    </w:p>
    <w:tbl>
      <w:tblPr>
        <w:tblW w:w="868" w:type="dxa"/>
        <w:jc w:val="left"/>
        <w:tblInd w:w="0" w:type="dxa"/>
        <w:tblLayout w:type="fixed"/>
        <w:tblCellMar>
          <w:top w:w="0" w:type="dxa"/>
          <w:left w:w="0" w:type="dxa"/>
          <w:bottom w:w="0" w:type="dxa"/>
          <w:right w:w="0" w:type="dxa"/>
        </w:tblCellMar>
      </w:tblPr>
      <w:tblGrid>
        <w:gridCol w:w="23"/>
        <w:gridCol w:w="845"/>
      </w:tblGrid>
      <w:tr>
        <w:trPr/>
        <w:tc>
          <w:tcPr>
            <w:tcW w:w="23" w:type="dxa"/>
            <w:tcBorders/>
            <w:vAlign w:val="center"/>
          </w:tcPr>
          <w:p>
            <w:pPr>
              <w:pStyle w:val="TableContents"/>
              <w:bidi w:val="0"/>
              <w:spacing w:before="0" w:after="283"/>
              <w:jc w:val="left"/>
              <w:rPr/>
            </w:pPr>
            <w:r>
              <w:rPr/>
            </w:r>
          </w:p>
        </w:tc>
        <w:tc>
          <w:tcPr>
            <w:tcW w:w="845"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Page 2 of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bookmarkStart w:id="202" w:name="BRPFPageFooter1"/>
      <w:bookmarkStart w:id="203" w:name="BRPFPageFooter1"/>
      <w:bookmarkEnd w:id="20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www.sec.gov or by accessing the Investors section of Apogee’s website at https://investors.apogeetherapeutics.com.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35">
        <w:r>
          <w:rPr>
            <w:rStyle w:val="InternetLink"/>
          </w:rPr>
          <w:t>April 24, 2026</w:t>
        </w:r>
      </w:hyperlink>
      <w:r>
        <w:rPr>
          <w:rFonts w:ascii="Times New Roman" w:hAnsi="Times New Roman"/>
          <w:color w:val="000000"/>
          <w:sz w:val="20"/>
        </w:rPr>
        <w:t xml:space="preserve">, and in Apogee’s Current Reports on Form 8-K, filed with the SEC on </w:t>
      </w:r>
      <w:hyperlink r:id="rId36">
        <w:r>
          <w:rPr>
            <w:rStyle w:val="InternetLink"/>
          </w:rPr>
          <w:t>April 24, 2026</w:t>
        </w:r>
      </w:hyperlink>
      <w:r>
        <w:rPr>
          <w:rFonts w:ascii="Times New Roman" w:hAnsi="Times New Roman"/>
          <w:color w:val="000000"/>
          <w:sz w:val="20"/>
        </w:rPr>
        <w:t xml:space="preserve"> and </w:t>
      </w:r>
      <w:hyperlink r:id="rId37">
        <w:r>
          <w:rPr>
            <w:rStyle w:val="InternetLink"/>
          </w:rPr>
          <w:t>June 12, 2026</w:t>
        </w:r>
      </w:hyperlink>
      <w:r>
        <w:rPr>
          <w:rFonts w:ascii="Times New Roman" w:hAnsi="Times New Roman"/>
          <w:color w:val="000000"/>
          <w:sz w:val="20"/>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38">
        <w:r>
          <w:rPr>
            <w:rStyle w:val="InternetLink"/>
          </w:rPr>
          <w:t>March 23, 2026</w:t>
        </w:r>
      </w:hyperlink>
      <w:r>
        <w:rPr>
          <w:rFonts w:ascii="Times New Roman" w:hAnsi="Times New Roman"/>
          <w:color w:val="000000"/>
          <w:sz w:val="20"/>
        </w:rPr>
        <w:t xml:space="preserve">, and in AbbVie’s Current Report on Form 8-K, filed with the SEC on </w:t>
      </w:r>
      <w:hyperlink r:id="rId39">
        <w:r>
          <w:rPr>
            <w:rStyle w:val="InternetLink"/>
          </w:rPr>
          <w:t>May 12, 2026</w:t>
        </w:r>
      </w:hyperlink>
      <w:r>
        <w:rPr>
          <w:rFonts w:ascii="Times New Roman" w:hAnsi="Times New Roman"/>
          <w:color w:val="000000"/>
          <w:sz w:val="20"/>
        </w:rPr>
        <w:t>.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www.sec.gov or by accessing the Investors section of Apogee’s website at https://investors.apogeetherapeutics.com and the Investors section of AbbVie’s website at https://investors.abbvie.com.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4" w:name="za4ec4b17882f4c3f87f1d54ab12c1356"/>
      <w:bookmarkStart w:id="205" w:name="za4ec4b17882f4c3f87f1d54ab12c1356"/>
      <w:bookmarkEnd w:id="205"/>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3 of 3 </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Exhibit 99.6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PRIVILEGED &amp; CONFIDENTIAL</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&amp; Analyst Courtesy Note</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email can be sent via BCC to all the Company’s analysts and top shareholders, or it can be sent to each party individually and personalized using the recipient’s name.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Subject:</w:t>
      </w:r>
      <w:r>
        <w:rPr>
          <w:rFonts w:ascii="Times New Roman" w:hAnsi="Times New Roman"/>
          <w:color w:val="000000"/>
          <w:sz w:val="20"/>
        </w:rPr>
        <w:t xml:space="preserve"> Apogee Therapeutics to be Acquired by AbbVie for $135.11 per Share in Cash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[NAME],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Apogee Therapeutics just </w:t>
      </w:r>
      <w:r>
        <w:rPr>
          <w:rFonts w:ascii="Times New Roman" w:hAnsi="Times New Roman"/>
          <w:color w:val="000000"/>
          <w:sz w:val="20"/>
          <w:u w:val="single"/>
        </w:rPr>
        <w:t>announced</w:t>
      </w:r>
      <w:r>
        <w:rPr>
          <w:rFonts w:ascii="Times New Roman" w:hAnsi="Times New Roman"/>
          <w:color w:val="000000"/>
          <w:sz w:val="20"/>
        </w:rPr>
        <w:t xml:space="preserve"> [LINK] that we have entered into an agreement to be acquired by AbbVie for $135.11 per share in cash, with a transaction value of approximately $10.9 billion.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is an exciting transaction that we believe offers substantial value to our shareholders while positioning our programs to realize their full potential and maximize their impact for patients.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AbbVie will hold an investor conference call today at 9:00 a.m. ET, which you can access through its Investor Relations website at </w:t>
      </w:r>
      <w:r>
        <w:rPr>
          <w:rFonts w:ascii="Times New Roman" w:hAnsi="Times New Roman"/>
          <w:color w:val="000000"/>
          <w:sz w:val="20"/>
          <w:u w:val="single"/>
        </w:rPr>
        <w:t>investors.abbvie.com.</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Best,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Noel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[EMAIL SIGNATURE]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6" w:name="z59ab830df5ec49d494751d86ba37d6e8"/>
      <w:bookmarkStart w:id="207" w:name="z59ab830df5ec49d494751d86ba37d6e8"/>
      <w:bookmarkEnd w:id="207"/>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1 of 3 </w:t>
            </w:r>
          </w:p>
        </w:tc>
      </w:tr>
    </w:tbl>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PRIVILEGED &amp; CONFIDENTIAL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pStyle w:val="TextBody"/>
        <w:bidi w:val="0"/>
        <w:spacing w:before="0" w:after="0"/>
        <w:jc w:val="left"/>
        <w:rPr>
          <w:b/>
        </w:rPr>
      </w:pPr>
      <w:r>
        <w:rPr>
          <w:b/>
        </w:rPr>
      </w:r>
    </w:p>
    <w:p>
      <w:pPr>
        <w:pStyle w:val="Normal"/>
        <w:bidi w:val="0"/>
        <w:spacing w:before="0" w:after="0"/>
        <w:jc w:val="left"/>
        <w:rPr>
          <w:sz w:val="4"/>
          <w:szCs w:val="4"/>
        </w:rPr>
      </w:pPr>
      <w:r>
        <w:rPr>
          <w:sz w:val="4"/>
          <w:szCs w:val="4"/>
        </w:rPr>
      </w:r>
      <w:bookmarkStart w:id="208" w:name="zc6551f08cde94a64bb8e2df22637f7a9"/>
      <w:bookmarkStart w:id="209" w:name="zc6551f08cde94a64bb8e2df22637f7a9"/>
      <w:bookmarkEnd w:id="209"/>
    </w:p>
    <w:tbl>
      <w:tblPr>
        <w:tblW w:w="913" w:type="dxa"/>
        <w:jc w:val="left"/>
        <w:tblInd w:w="0" w:type="dxa"/>
        <w:tblLayout w:type="fixed"/>
        <w:tblCellMar>
          <w:top w:w="0" w:type="dxa"/>
          <w:left w:w="0" w:type="dxa"/>
          <w:bottom w:w="0" w:type="dxa"/>
          <w:right w:w="0" w:type="dxa"/>
        </w:tblCellMar>
      </w:tblPr>
      <w:tblGrid>
        <w:gridCol w:w="23"/>
        <w:gridCol w:w="890"/>
      </w:tblGrid>
      <w:tr>
        <w:trPr/>
        <w:tc>
          <w:tcPr>
            <w:tcW w:w="23" w:type="dxa"/>
            <w:tcBorders/>
            <w:vAlign w:val="center"/>
          </w:tcPr>
          <w:p>
            <w:pPr>
              <w:pStyle w:val="TableContents"/>
              <w:bidi w:val="0"/>
              <w:spacing w:before="0" w:after="283"/>
              <w:jc w:val="left"/>
              <w:rPr/>
            </w:pPr>
            <w:r>
              <w:rPr/>
            </w:r>
          </w:p>
        </w:tc>
        <w:tc>
          <w:tcPr>
            <w:tcW w:w="890" w:type="dxa"/>
            <w:tcBorders/>
            <w:vAlign w:val="center"/>
          </w:tcPr>
          <w:p>
            <w:pPr>
              <w:pStyle w:val="TableContents"/>
              <w:bidi w:val="0"/>
              <w:spacing w:before="0" w:after="0"/>
              <w:jc w:val="right"/>
              <w:rPr>
                <w:b/>
                <w:i w:val="false"/>
                <w:caps w:val="false"/>
                <w:smallCaps w:val="false"/>
                <w:color w:val="000000"/>
                <w:sz w:val="16"/>
              </w:rPr>
            </w:pPr>
            <w:r>
              <w:rPr>
                <w:b/>
                <w:i w:val="false"/>
                <w:caps w:val="false"/>
                <w:smallCaps w:val="false"/>
                <w:color w:val="000000"/>
                <w:sz w:val="16"/>
              </w:rPr>
              <w:t xml:space="preserve">Page 2 of 3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bookmarkStart w:id="210" w:name="BRPFPageFooter2"/>
      <w:bookmarkStart w:id="211" w:name="BRPFPageFooter2"/>
      <w:bookmarkEnd w:id="21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PRIVILEGED &amp; CONFIDENTIAL</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pPr>
      <w:r>
        <w:rPr>
          <w:rFonts w:ascii="Times New Roman" w:hAnsi="Times New Roman"/>
          <w:color w:val="000000"/>
          <w:sz w:val="20"/>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40">
        <w:r>
          <w:rPr>
            <w:rStyle w:val="InternetLink"/>
          </w:rPr>
          <w:t>April 24, 2026</w:t>
        </w:r>
      </w:hyperlink>
      <w:r>
        <w:rPr>
          <w:rFonts w:ascii="Times New Roman" w:hAnsi="Times New Roman"/>
          <w:color w:val="000000"/>
          <w:sz w:val="20"/>
        </w:rPr>
        <w:t xml:space="preserve">, and in Apogee’s Current Reports on Form 8-K, filed with the SEC on </w:t>
      </w:r>
      <w:hyperlink r:id="rId41">
        <w:r>
          <w:rPr>
            <w:rStyle w:val="InternetLink"/>
          </w:rPr>
          <w:t>April 24, 2026</w:t>
        </w:r>
      </w:hyperlink>
      <w:r>
        <w:rPr>
          <w:rFonts w:ascii="Times New Roman" w:hAnsi="Times New Roman"/>
          <w:color w:val="000000"/>
          <w:sz w:val="20"/>
        </w:rPr>
        <w:t xml:space="preserve"> and </w:t>
      </w:r>
      <w:hyperlink r:id="rId42">
        <w:r>
          <w:rPr>
            <w:rStyle w:val="InternetLink"/>
          </w:rPr>
          <w:t>June 12, 2026</w:t>
        </w:r>
      </w:hyperlink>
      <w:r>
        <w:rPr>
          <w:rFonts w:ascii="Times New Roman" w:hAnsi="Times New Roman"/>
          <w:color w:val="000000"/>
          <w:sz w:val="20"/>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Annual Meeting of Stockholders, filed with the SEC on </w:t>
      </w:r>
      <w:hyperlink r:id="rId43">
        <w:r>
          <w:rPr>
            <w:rStyle w:val="InternetLink"/>
          </w:rPr>
          <w:t>March 23, 2026</w:t>
        </w:r>
      </w:hyperlink>
      <w:r>
        <w:rPr>
          <w:rFonts w:ascii="Times New Roman" w:hAnsi="Times New Roman"/>
          <w:color w:val="000000"/>
          <w:sz w:val="20"/>
        </w:rPr>
        <w:t xml:space="preserve">, and in AbbVie’s Current Report on Form 8-K, filed with the SEC on </w:t>
      </w:r>
      <w:hyperlink r:id="rId44">
        <w:r>
          <w:rPr>
            <w:rStyle w:val="InternetLink"/>
          </w:rPr>
          <w:t>May 12, 2026</w:t>
        </w:r>
      </w:hyperlink>
      <w:r>
        <w:rPr>
          <w:rFonts w:ascii="Times New Roman" w:hAnsi="Times New Roman"/>
          <w:color w:val="000000"/>
          <w:sz w:val="20"/>
        </w:rPr>
        <w:t xml:space="preserve">. To the extent holdings of Apogee’s securities and AbbVie’s securities by their respective directors or executive officers have changed since the amounts set forth in such filings, such changes have been or will be reflected on Initial Statements of Beneficial Ownership on Form 3 or Statements of Beneficial Ownership on Form 4 filed with the SEC. These documents may be obtained free of charge from the SEC’s website at </w:t>
      </w:r>
      <w:r>
        <w:rPr>
          <w:rFonts w:ascii="Times New Roman" w:hAnsi="Times New Roman"/>
          <w:color w:val="000000"/>
          <w:sz w:val="20"/>
          <w:u w:val="single"/>
        </w:rPr>
        <w:t>www.sec.gov</w:t>
      </w:r>
      <w:r>
        <w:rPr>
          <w:rFonts w:ascii="Times New Roman" w:hAnsi="Times New Roman"/>
          <w:color w:val="000000"/>
          <w:sz w:val="20"/>
        </w:rPr>
        <w:t xml:space="preserve"> or by accessing the Investors section of Apogee’s website at </w:t>
      </w:r>
      <w:r>
        <w:rPr>
          <w:rFonts w:ascii="Times New Roman" w:hAnsi="Times New Roman"/>
          <w:color w:val="000000"/>
          <w:sz w:val="20"/>
          <w:u w:val="single"/>
        </w:rPr>
        <w:t>https://investors.apogeetherapeutics.com</w:t>
      </w:r>
      <w:r>
        <w:rPr>
          <w:rFonts w:ascii="Times New Roman" w:hAnsi="Times New Roman"/>
          <w:color w:val="000000"/>
          <w:sz w:val="20"/>
        </w:rPr>
        <w:t xml:space="preserve"> and the Investors section of AbbVie’s website at </w:t>
      </w:r>
      <w:r>
        <w:rPr>
          <w:rFonts w:ascii="Times New Roman" w:hAnsi="Times New Roman"/>
          <w:color w:val="000000"/>
          <w:sz w:val="20"/>
          <w:u w:val="single"/>
        </w:rPr>
        <w:t>https://investors.abbvie.com</w:t>
      </w:r>
      <w:r>
        <w:rPr>
          <w:rFonts w:ascii="Times New Roman" w:hAnsi="Times New Roman"/>
          <w:color w:val="000000"/>
          <w:sz w:val="20"/>
        </w:rPr>
        <w:t>.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pStyle w:val="TextBody"/>
        <w:bidi w:val="0"/>
        <w:spacing w:before="0" w:after="0"/>
        <w:jc w:val="left"/>
        <w:rPr/>
      </w:pPr>
      <w:r>
        <w:rPr/>
      </w:r>
    </w:p>
    <w:p>
      <w:pPr>
        <w:pStyle w:val="TextBody"/>
        <w:bidi w:val="0"/>
        <w:spacing w:before="200" w:after="20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 3 of 3</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99.7</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LinkedIn</w:t>
        <w:br/>
        <w:t>Apogee Therapeutics</w:t>
        <w:br/>
        <w:t>22 June 2026</w:t>
      </w:r>
      <w:r>
        <w:rPr>
          <w:rFonts w:ascii="Times New Roman" w:hAnsi="Times New Roman"/>
          <w:color w:val="000000"/>
          <w:sz w:val="20"/>
        </w:rPr>
        <w:br/>
        <w:br/>
      </w:r>
      <w:r>
        <w:rPr>
          <w:rFonts w:ascii="Times New Roman" w:hAnsi="Times New Roman"/>
          <w:color w:val="000000"/>
          <w:sz w:val="20"/>
          <w:u w:val="single"/>
        </w:rPr>
        <w:t>Link to Post:</w:t>
      </w:r>
      <w:r>
        <w:rPr>
          <w:rFonts w:ascii="Times New Roman" w:hAnsi="Times New Roman"/>
          <w:color w:val="000000"/>
          <w:sz w:val="20"/>
        </w:rPr>
        <w:t xml:space="preserve"> </w:t>
      </w:r>
      <w:r>
        <w:rPr>
          <w:rFonts w:ascii="Times New Roman" w:hAnsi="Times New Roman"/>
          <w:color w:val="000000"/>
          <w:sz w:val="20"/>
          <w:u w:val="single"/>
        </w:rPr>
        <w:t>https://www.linkedin.com/posts/apogee-therapeutics_we-are-pleased-to-announce-that-apogee-therapeutics-activity-7474779909576560640-SR57</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6686550" cy="7667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45"/>
                    <a:stretch>
                      <a:fillRect/>
                    </a:stretch>
                  </pic:blipFill>
                  <pic:spPr bwMode="auto">
                    <a:xfrm>
                      <a:off x="0" y="0"/>
                      <a:ext cx="6686550" cy="7667625"/>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99.8</w:t>
      </w:r>
    </w:p>
    <w:p>
      <w:pPr>
        <w:pStyle w:val="TextBody"/>
        <w:bidi w:val="0"/>
        <w:spacing w:before="0" w:after="0"/>
        <w:jc w:val="left"/>
        <w:rPr>
          <w:b/>
        </w:rPr>
      </w:pPr>
      <w:r>
        <w:rPr>
          <w:b/>
        </w:rPr>
      </w:r>
    </w:p>
    <w:p>
      <w:pPr>
        <w:pStyle w:val="TextBody"/>
        <w:bidi w:val="0"/>
        <w:spacing w:before="0" w:after="0"/>
        <w:jc w:val="center"/>
        <w:rPr>
          <w:color w:val="000000"/>
        </w:rPr>
      </w:pPr>
      <w:r>
        <w:rPr>
          <w:color w:val="000000"/>
        </w:rPr>
        <w:drawing>
          <wp:inline distT="0" distB="0" distL="0" distR="0">
            <wp:extent cx="11191875" cy="62579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46"/>
                    <a:stretch>
                      <a:fillRect/>
                    </a:stretch>
                  </pic:blipFill>
                  <pic:spPr bwMode="auto">
                    <a:xfrm>
                      <a:off x="0" y="0"/>
                      <a:ext cx="11191875" cy="62579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  Acquisition of Apogee Therapeutics  June 22, 2026 </w:t>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39500" cy="62960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47"/>
                    <a:stretch>
                      <a:fillRect/>
                    </a:stretch>
                  </pic:blipFill>
                  <pic:spPr bwMode="auto">
                    <a:xfrm>
                      <a:off x="0" y="0"/>
                      <a:ext cx="11239500" cy="62960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2  June 22, 2026  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  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  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  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  This presentation contains certain non-GAAP financial measures. Non-GAAP financial measures are adjusted for certain non-cash items and for factors that are unusual or unpredictable, and exclude those costs, expenses and other specified items presented in AbbVie’s reconciliation tables.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 AbbVie does not provide a reconciliation of forward-looking non-GAAP financial measures to the most directly comparable GAAP reported financial measures on a forward-looking basis because it is unable to predict with reasonable certainty the ultimate outcome of unusual gains and losses, certain acquisition-related expenses, gains and losses from equity securities, actuarial gains and losses from pension and postretirement plan remeasurements, potential future asset impairments and pending litigation without unreasonable effort. These items are uncertain, depend on various factors and could have a material impact on GAAP reported results for the guidance period.  This presentation is intended for the investor community only; materials are not intended to promote the products referenced herein or otherwise influence healthcare prescribing decisions.  Forward-Looking Statements and Non-GAAP Financial Information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10925" cy="6257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48"/>
                    <a:stretch>
                      <a:fillRect/>
                    </a:stretch>
                  </pic:blipFill>
                  <pic:spPr bwMode="auto">
                    <a:xfrm>
                      <a:off x="0" y="0"/>
                      <a:ext cx="11210925" cy="62579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3  June 22, 2026  Strong Strategic Fit for AbbVie  Complements AbbVie’s Immunology pipeline by adding multiple potentially differentiated assets to treat inflammatory diseases  Leverages AbbVie’s regulatory and clinical expertise, commercial capabilities and international infrastructure to maximize Apogee’s high-value assets  Potential for substantial shareholder value creation with mega-blockbuster peak sales potential across Apogee’s pipeline of assets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29975" cy="6286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49"/>
                    <a:stretch>
                      <a:fillRect/>
                    </a:stretch>
                  </pic:blipFill>
                  <pic:spPr bwMode="auto">
                    <a:xfrm>
                      <a:off x="0" y="0"/>
                      <a:ext cx="11229975" cy="62865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4  June 22, 2026  Apogee Overview  Clinical-stage biotechnology company advancing novel biologics with potential for differentiated efficacy and dosing for the treatment of atopic dermatitis, asthma and other inflammatory conditions  Portfolio of long-acting antibodies targeting well-established biological drivers in immunology  Potential to treat numerous inflammatory conditions  Potential to achieve improved efficacy and dosing through monotherapies and combinations of novel antibodies  Lead asset, zumilokibart, demonstrated potentially best-in-category efficacy and favorable safety with Q12W and Q24W dosing in Ph2 atopic dermatitis study  Zumilokibart expected to significantly improve dosing frequency compared to existing biologics, potentially requiring fewer than half the number of injection days  Zumilokibart expansion potential in dermatology and respiratory as a monotherapy or coformulation with APG333 (half-life extended anti-TSLP antibody)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182350" cy="6238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50"/>
                    <a:stretch>
                      <a:fillRect/>
                    </a:stretch>
                  </pic:blipFill>
                  <pic:spPr bwMode="auto">
                    <a:xfrm>
                      <a:off x="0" y="0"/>
                      <a:ext cx="11182350" cy="62388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5  June 22, 2026  Apogee Well-Aligned With AbbVie Strategic Goals in Immunology  ELEVATE CARE  DEVELOP CURES  OFFER CONVENIENCE  Rinvoq  AA, Vitiligo, HS, SLE  Lutikizumab  HS  B-cell Depletion in Rheumatology  Skyrizi SubQ Induction in IBD  Longer-Acting Antibodies  Novel Combinations in Dermatology  IL23 / IL1/ / Amylin  Novel Combinations in Gastroenterology  IL23 / 47 / TL1A / TREM1 / JAK / LPAR1  Novel Combinations in Rheumatology  IL23 / TL1A / IL1/ / CD40 / TREM1 / JAK / LPAR1  Bispecific Antibodies  Oral Peptides for PsO, PsA &amp; IBD  Zumilokibart Monotherapy in Atopic Dermatitis &amp; Other Inflammatory Conditions APG273 (Zumilokibart + APG333) in Asthma &amp; COPD  1  2  3  AA: alopecia areata, COPD: chronic obstructive pulmonary disease, HS: hidradenitis suppurativa, IBD: inflammatory bowel disease, PsA: psoriatic arthritis, PsO: psoriasis, SLE: systemic lupus erythematosus  Pipeline Focused on Next-Generation  Medicines to Elevate Standard of Care  Broad Immune Modulating Effect  EVOLUTION OF ABBVIE IMMUNOLOGY INNOVATION  Increased Specificity, Efficacy and/or Convenience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49025" cy="62960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51"/>
                    <a:stretch>
                      <a:fillRect/>
                    </a:stretch>
                  </pic:blipFill>
                  <pic:spPr bwMode="auto">
                    <a:xfrm>
                      <a:off x="0" y="0"/>
                      <a:ext cx="11249025" cy="62960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6  June 22, 2026  Apogee Highly Complementary to AbbVie’s Immunology Pipeline  iv  Phase 1  Phase 2  Phase 3  Under Regulatory  Review  ABBV-313 (IL13/IL31R) Ph1 start Q3 2026  AD  ABBV-142 (LPAR1)  IPF  Lutikizumab (IL1/)  HS  Rinvoq (JAKi)  Alopecia Areata  ABBV-319 (CD19 ADC)  SLE, SjD  ABBV-8736 (TREM1)  CD  Rinvoq (JAKi)  HS  Rinvoq (JAKi)  Vitiligo  ABBV-519 (CD19)  RA, SLE  Lutikizumab (IL1/) + Ravagalimab (CD40)  RA  Rinvoq (JAKi)  SLE  Skyrizi Subcutaneous Induction  CD  ABBV-547 (Long-Acting IL23)  PsO  Skyrizi (IL23) + ABBV-382 (47)  CD, UC Ph2b start Q3 2026  ABBVIE IMMUNOLOGY PROGRAMS  ABBV-619 (CD19 CAR-T)  RA, SLE  Skyrizi (IL23) + ABBV-701 (TL1A)  CD, UC Ph2b start Q3 2026  ABBV-722 (LPAR1i)  IPF  Skyrizi (IL23) + Lutikizumab (IL1/)  PsA  ABBV-722 (LPAR1i) + Rinvoq (JAKi)  RA, SSc  ABBV-848 (IRAK4i)  RA  ABBV-859 (IL23Ri) Ph1 start Q3 2026  PsO  ABBV-1451 (IL1/)  HS  Zumilokibart (IL13) Atopic Dermatitis (Posit  e  Part B 16-week data)  Ph3 start 2H26  Zumilokibart Asthma (Positive Ph1b data)  APOGEE PROGRAMS  Zumilokibart Eosinophilic Esophagitis  APG273 (IL13 + TSLP) Asthma / COPD  Ph2a start 2H26  Clinical trial plans to be announced 2H26  AD: atopic dermatitis, CD: Crohn’s disease, COPD: chronic obstructive pulmonary disease, HS: hidradenitis suppurativa, IPF: idiopathic pulmonary fibrosis, PsA: psoriatic arthritis, PsO: psoriasis, RA: rheumatoid arthritis, SjD: Sjögren's disease, SLE: systemic lupus erythematosus, SSc: systemic sclerosis, UC: ulcerative colitis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182350" cy="6267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52"/>
                    <a:stretch>
                      <a:fillRect/>
                    </a:stretch>
                  </pic:blipFill>
                  <pic:spPr bwMode="auto">
                    <a:xfrm>
                      <a:off x="0" y="0"/>
                      <a:ext cx="11182350" cy="6267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7  June 22, 2026  Atopic Dermatitis  Large and Growing Atopic Dermatitis Therapeutic Area  ~$18 billion global revenues growing more than 15% annually  ~2.5x more moderate-to-severe patients than psoriasis  ~8% penetration for advanced therapies  High Unmet Need  Only ~20% of patients simultaneously achieve itch and skin improvement  (NRS 0/1 &amp; EASI90) on today’s best  therapies  Opportunities for novel treatments that provide improved convenience or better skin clearance / itch resolution  High Overlap With Other Inflammatory Conditions  AD is frequently comorbid with other T2-mediated diseases  ~25% of AD patients also have asthma  ~40% of AD patients have allergic rhinitis, including chronic rhinosinusitis with nasal polyps  Transaction unlocks a more comprehensive portfolio of therapies for AD patients  Zumilokibart as potential early-line option offering best-in-category efficacy and dosing  Rinvoq as a highly effective oral option for patients not adequately controlled with other systemic drug products, including biologics  Source: Evaluate Pharma, AbbVie internal estimates, Rinvoq Phase 3 Level-Up data, PMID: 32112994, PMID: 33684526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01400" cy="6257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53"/>
                    <a:stretch>
                      <a:fillRect/>
                    </a:stretch>
                  </pic:blipFill>
                  <pic:spPr bwMode="auto">
                    <a:xfrm>
                      <a:off x="0" y="0"/>
                      <a:ext cx="11201400" cy="62579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8  June 22, 2026  Zumilokibart (APG777)  Extended Half-life Anti-IL13 Antibody Being Developed as a Monotherapy or Combination Therapy in Dermatology, Respiratory and Other Immune-Mediated Diseases  Across a robust, reproducible two-part Ph2 study, zumilokibart demonstrated strong lesion and itch control that improved over time  Delivered numerically higher absolute response rates and placebo-adjusted efficacy across key endpoints compared to currently marketed AD biologics  Well tolerated with a safety profile similar to other biologics  Ph3 AD trials expected to begin 2H 2026; Potential approval early 2030  Expansion potential in dermatology and respiratory indications as a monotherapy and coformulation  Potential for Best-in-Category Efficacy in AD  Sustained efficacy with every 3-month and 6-month dosing intervals out to a year of follow up  Extended half-life enables 4 dosing days for induction and 2-4 dosing days per year for maintenance  Expected to require ~½ the number of injection days compared to Ebglyss and ~¼ the number of injection days compared to Dupixent in first year of treatment  Market research supports Q12W-Q24W dosing as a meaningful market value driver in atopic dermatitis, supporting potential for strong share capture  Potential for Substantially Lower Injection Burden  Monotherapy: Eosinophilic Esophagitis (EoE), Chronic Pruritus of Unknown Origin (CPUO), Chronic Spontaneous Urticaria (CSU), Prurigo Nodularis (PN)  Combination Therapy: Asthma, Chronic Obstructive Pulmonary Disease (COPD), Chronic Rhinosinusitis with Nasal Polyps (CRSwNP)  Indications planned for zumilokibart mono or combo therapies represents collective addressable market of ~$40 billion today1  Potential Indication Expansion to Inflammatory Conditions Where IL13 Plays a Critical Role  1Evaluate Pharma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182350" cy="62769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54"/>
                    <a:stretch>
                      <a:fillRect/>
                    </a:stretch>
                  </pic:blipFill>
                  <pic:spPr bwMode="auto">
                    <a:xfrm>
                      <a:off x="0" y="0"/>
                      <a:ext cx="11182350" cy="62769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9  June 22, 2026  Zumilokibart (APG777) Atopic Dermatitis Phase 2 APEX Part B  Numerically Higher Absolute Response Rates and Placebo-Adjusted Efficacy Across Key Endpoints Compared to Currently Marketed AD Biologics  23%  43%  Zumi  EASI 7  X% Treatment response  X% PBO-adjusted  X% PBO response  66%  s  5 Responders at 16 Weeks  55%  48%  44%  38% 14%  34%  30%  17% 14%  Ebglyss Dupixent Nemluvio  +TCS  EASI 90 Responders at 16 Weeks  47%  35% 35%  38% 26%  26% 27% 8%  18%  9% 9% 8%  Zumi Ebglyss Dupixent Nemluvio  +TCS  I-NRS ≥4 Reduction from Baseline at 16 Week  51%  42% 42%  39%  37%  24%  30% 28%  18%  14% 12% 11%  Zumi Ebglyss Dupixent Nemluvio  +TCS  EASI 75: Eczema Area and Severity Index (EASI) percent score reduction of at least 75, EASI 90: Eczema Area and Severity Index (EASI) percent score reduction of at least 90, I-NRS ≥4: proportion of participants achieving a ≥4 point improvement from baseline in weekly mean of the daily itch numeric rating scale.  Note: The data presented above are not from a head-to-head study. Efficacy data are derived from different clinical trials conducted at different times, with differences in trial design and patient populations. As a result, cross-trial comparisons cannot be made, and no head-to-head clinical trials have been conducted. The data were derived from zumilokibart mid dose from Phase 2 APEX Part B study (dose selected for Phase 3 program), lebrikizumab Phase 3 Advocate 1 &amp; 2 studies, dupilumab Phase 3 SOLO 1 &amp; 2 studies, nemolizumab plus topical corticosteroids (TCS) Phase 3 ARCADIA 1 &amp; 2 studies. Zumilokibart has not been approved in AD and its safety and efficacy in this indication has not been evaluated by regulatory agencies.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10925" cy="6296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55"/>
                    <a:stretch>
                      <a:fillRect/>
                    </a:stretch>
                  </pic:blipFill>
                  <pic:spPr bwMode="auto">
                    <a:xfrm>
                      <a:off x="0" y="0"/>
                      <a:ext cx="11210925" cy="629602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10  June 22, 2026  Zumilokibart (APG777) Atopic Dermatitis Phase 2 APEX Part A  Zumilokibart 360mg Q24W Zumilokibart 360mg Q12W  Continuous Improvement Across All Endpoints Through Week 52  Zumilokibart 16-Week Induction Zumilokibart 360mg Q24W Zumilokibart 360mg Q12W  Durable Maintenance of Responses with Both Q12W and Q24W Dosing  Source: Apogee Corporate Presentation  All subjects who were initially randomized to zumilokibart induction were assessed through 52 weeks.  Phase 3 monotherapy studies will evaluate exposure-matched maintenance dosing regimens of 360mg Q12W and 720mg Q24W  Source: Apogee Corporate Presentation  Subjects who achieved a response at week 16 were assessed for maintenance of response through week 52.  Phase 3 monotherapy studies will evaluate exposure-matched maintenance dosing regimens of 360mg Q12W and 720mg Q24W.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10925" cy="6276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56"/>
                    <a:stretch>
                      <a:fillRect/>
                    </a:stretch>
                  </pic:blipFill>
                  <pic:spPr bwMode="auto">
                    <a:xfrm>
                      <a:off x="0" y="0"/>
                      <a:ext cx="11210925" cy="62769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11  June 22, 2026  Asthma Represents a Large and Underserved Market  Opportunity to Grow Market with Commercial Investment and Innovation  Significant Opportunity in Asthma Market  Treatment Options for Type 2 Low Asthma  Elevated Efficacy in Type 2 High Asthma  Improved Adherence   Ongoing exacerbations, steroid dependence, and symptom breakthroughs despite current biologics  Need for more reliable exacerbation reduction, and more meaningful improvements in lung function and quality of life   Sizable population (10% - 40%) of Type 2 Low patients, for whom current biologics offer limited efficacy   Demand exists for novel, broader phenotype-agnostic treatments  Current leading biologics dosed Q2W – Q8W  Strong need for longer-interval dosing (Q12W+) to reduce treatment burden and improve patient compliance  ~7 million severe, uncontrolled patients  ~9% penetration rate for advanced therapies in global severe market  ~$18 billion global asthma market growing more than 15% annually  High Unmet Need for Novel Treatments  Source: Evaluate Pharma, AbbVie internal estimates, PMID: 32586877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191875" cy="6238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57"/>
                    <a:stretch>
                      <a:fillRect/>
                    </a:stretch>
                  </pic:blipFill>
                  <pic:spPr bwMode="auto">
                    <a:xfrm>
                      <a:off x="0" y="0"/>
                      <a:ext cx="11191875" cy="62388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12  June 22, 2026  APG273 (Zumilokibart + APG333)  Dual IL13 / TSLP Inhibition Could Provide Transformational Efficacy for Type 2 High and Low Asthma Patients with Significantly Improved Q12W Dosing  Strong Rationale for IL13 / TSLP Combination in Asthma  Source: Apogee Corporate Presentation. Note: Data not from head-to-head clinical studies, see Apogee presentation for full disclaimer. FeNO: fractional exhaled nitric oxide,  FEV1: forced expiratory volume in 1 second.  Dual blockage of two clinically validated asthma disease pathways (IL13 / TSLP) has potential for enhanced efficacy  Zumilokibart demonstrated durable FeNO suppression and FEV1 improvement in Ph1b asthma study  APG333 demonstrated tezepelumab-like inhibition of T2 biomarkers in Ph1 healthy volunteers  Preclinical data show zumilokibart + APG333 combination has a broader effect on both central and local drivers of obstructive airway disease compared to tezepelumab, dupilumab and lebrikizumab  Zumilokibart Phase 1b Asthma Data  Single Dose Demonstrated Durable FeNO Suppression Through 32-Weeks / Achieved Competitive FeNO Reduction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10925" cy="6267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58"/>
                    <a:stretch>
                      <a:fillRect/>
                    </a:stretch>
                  </pic:blipFill>
                  <pic:spPr bwMode="auto">
                    <a:xfrm>
                      <a:off x="0" y="0"/>
                      <a:ext cx="11210925" cy="626745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13  June 22, 2026  Transaction and Financial Overview  AbbVie has agreed to acquire all outstanding shares of Apogee for a purchase price of $135.11 per share in an all-cash transaction  Premium of approximately 49% to the closing price on June 18, 2026  Purchase price of $10.9B; Implied transaction value of approximately $10.1B net of estimated cash and marketable securities acquired1  Will fund the transaction with debt  PURCHASE PRICE  Apogee’s pipeline assets represent mega-blockbuster collective peak sales potential  Zumilokibart in atopic dermatitis represents most substantial component of the deal value  Modest value ascribed to APG273 given early stage of development  DEAL VALUE  CAPITAL ALLOCATION PRIORITIES  FINANCIAL IMPACT  Closing expected third quarter of 2026, subject to Apogee shareholder approval, regulatory approvals and other customary closing conditions  Expected to negatively impact adjusted diluted EPS by approximately $0.14 in 2026 (partial year) and approximately $0.46 in 2027  Expect adjusted diluted earnings per share accretion beginning in 2032 and significantly ramping over the long term  No change to AbbVie’s capital allocation priorities  Remain committed to a strong and growing dividend; continue to have financial flexibility for additional business development  Expect to maintain A2/A- credit rating; Committed to achieving net leverage ratio of 2x within 2-3 years of deal closing  1Net cash and marketable securities position acquired includes impact of the buy-back option for change of control under the Apogee revenue share agreement with Blackstone Life  Sciences to reduce a significant portion of the expected future royalty obligation for zumilokibart.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191875" cy="6238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59"/>
                    <a:stretch>
                      <a:fillRect/>
                    </a:stretch>
                  </pic:blipFill>
                  <pic:spPr bwMode="auto">
                    <a:xfrm>
                      <a:off x="0" y="0"/>
                      <a:ext cx="11191875" cy="6238875"/>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 w:hAnsi="Times New Roman"/>
          <w:color w:val="FFFFFF"/>
          <w:sz w:val="2"/>
        </w:rPr>
        <w:t>14  June 22, 2026  Key Takeaways  A strong strategic fit for AbbVie that represents an attractive opportunity to acquire a pipeline of potentially differentiated assets focused on treating inflammatory conditions  Complements AbbVie’s Immunology pipeline by adding a portfolio of long-acting, high-efficacy assets targeting dermatology, respiratory and other immune-mediated diseases  Provides AbbVie with a late-stage atopic dermatitis asset, zumilokibart, that has the potential to provide best-in-category  efficacy, safety comparable to approved biologics and significantly more convenient Q12W – Q24W dosing  Enables AbbVie to enter large and underserved respiratory markets, such as asthma and COPD  Potential to create substantial shareholder value  Apogee’s pipeline assets represent mega-blockbuster collective peak sales potential  Assets represent potential new sources of growth to support AbbVie’s performance in the 2030’s and beyond  AbbVie will leverage its regulatory and clinical expertise, commercial capabilities, and international infrastructure in  Immunology to maximize Apogee’s high-value assets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1239500" cy="62769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60"/>
                    <a:stretch>
                      <a:fillRect/>
                    </a:stretch>
                  </pic:blipFill>
                  <pic:spPr bwMode="auto">
                    <a:xfrm>
                      <a:off x="0" y="0"/>
                      <a:ext cx="11239500" cy="6276975"/>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51152/000155115226000008/abbv-20251231.htm" TargetMode="External"/><Relationship Id="rId3" Type="http://schemas.openxmlformats.org/officeDocument/2006/relationships/hyperlink" Target="https://www.sec.gov/ix?doc=/Archives/edgar/data/1974640/000197464026000002/apge-20251231.htm" TargetMode="External"/><Relationship Id="rId4" Type="http://schemas.openxmlformats.org/officeDocument/2006/relationships/hyperlink" Target="https://www.sec.gov/ix?doc=/Archives/edgar/data/1974640/000119312526177342/apge-20260424.htm" TargetMode="External"/><Relationship Id="rId5" Type="http://schemas.openxmlformats.org/officeDocument/2006/relationships/hyperlink" Target="https://www.sec.gov/ix?doc=/Archives/edgar/data/1974640/000119312526177288/apge-20260421.htm" TargetMode="External"/><Relationship Id="rId6" Type="http://schemas.openxmlformats.org/officeDocument/2006/relationships/hyperlink" Target="https://www.sec.gov/ix?doc=/Archives/edgar/data/1974640/000119312526269650/apge-20260609.htm" TargetMode="External"/><Relationship Id="rId7" Type="http://schemas.openxmlformats.org/officeDocument/2006/relationships/hyperlink" Target="https://www.sec.gov/ix?doc=/Archives/edgar/data/1551152/000110465926033387/abbv-20260508xdef14a.htm" TargetMode="External"/><Relationship Id="rId8" Type="http://schemas.openxmlformats.org/officeDocument/2006/relationships/hyperlink" Target="https://www.sec.gov/ix?doc=/Archives/edgar/data/1551152/000110465926059484/tm2614276d1_8k.htm" TargetMode="External"/><Relationship Id="rId9" Type="http://schemas.openxmlformats.org/officeDocument/2006/relationships/hyperlink" Target="https://www.sec.gov/ix?doc=/Archives/edgar/data/1974640/000119312526177342/apge-20260424.htm" TargetMode="External"/><Relationship Id="rId10" Type="http://schemas.openxmlformats.org/officeDocument/2006/relationships/hyperlink" Target="https://www.sec.gov/ix?doc=/Archives/edgar/data/1974640/000119312526177288/apge-20260421.htm" TargetMode="External"/><Relationship Id="rId11" Type="http://schemas.openxmlformats.org/officeDocument/2006/relationships/hyperlink" Target="https://www.sec.gov/ix?doc=/Archives/edgar/data/0001974640/000119312526269650/apge-20260609.htm" TargetMode="External"/><Relationship Id="rId12" Type="http://schemas.openxmlformats.org/officeDocument/2006/relationships/hyperlink" Target="https://www.sec.gov/ix?doc=/Archives/edgar/data/1551152/000110465926033387/abbv-20260508xdef14a.htm" TargetMode="External"/><Relationship Id="rId13" Type="http://schemas.openxmlformats.org/officeDocument/2006/relationships/hyperlink" Target="https://www.sec.gov/ix?doc=/Archives/edgar/data/1551152/000110465926059484/tm2614276d1_8k.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hyperlink" Target="https://www.sec.gov/ix?doc=/Archives/edgar/data/1974640/000119312526177342/apge-20260424.htm" TargetMode="External"/><Relationship Id="rId21" Type="http://schemas.openxmlformats.org/officeDocument/2006/relationships/hyperlink" Target="https://www.sec.gov/ix?doc=/Archives/edgar/data/1974640/000119312526177288/apge-20260421.htm" TargetMode="External"/><Relationship Id="rId22" Type="http://schemas.openxmlformats.org/officeDocument/2006/relationships/hyperlink" Target="https://www.sec.gov/ix?doc=/Archives/edgar/data/0001974640/000119312526269650/apge-20260609.htm" TargetMode="External"/><Relationship Id="rId23" Type="http://schemas.openxmlformats.org/officeDocument/2006/relationships/hyperlink" Target="https://www.sec.gov/ix?doc=/Archives/edgar/data/1551152/000110465926033387/abbv-20260508xdef14a.htm" TargetMode="External"/><Relationship Id="rId24" Type="http://schemas.openxmlformats.org/officeDocument/2006/relationships/hyperlink" Target="https://www.sec.gov/ix?doc=/Archives/edgar/data/1551152/000110465926059484/tm2614276d1_8k.htm" TargetMode="External"/><Relationship Id="rId25" Type="http://schemas.openxmlformats.org/officeDocument/2006/relationships/hyperlink" Target="https://www.sec.gov/ix?doc=/Archives/edgar/data/1974640/000119312526177342/apge-20260424.htm" TargetMode="External"/><Relationship Id="rId26" Type="http://schemas.openxmlformats.org/officeDocument/2006/relationships/hyperlink" Target="https://www.sec.gov/ix?doc=/Archives/edgar/data/1974640/000119312526177288/apge-20260421.htm" TargetMode="External"/><Relationship Id="rId27" Type="http://schemas.openxmlformats.org/officeDocument/2006/relationships/hyperlink" Target="https://www.sec.gov/ix?doc=/Archives/edgar/data/0001974640/000119312526269650/apge-20260609.htm" TargetMode="External"/><Relationship Id="rId28" Type="http://schemas.openxmlformats.org/officeDocument/2006/relationships/hyperlink" Target="https://www.sec.gov/ix?doc=/Archives/edgar/data/1551152/000110465926033387/abbv-20260508xdef14a.htm" TargetMode="External"/><Relationship Id="rId29" Type="http://schemas.openxmlformats.org/officeDocument/2006/relationships/hyperlink" Target="https://www.sec.gov/ix?doc=/Archives/edgar/data/1551152/000110465926059484/tm2614276d1_8k.htm" TargetMode="External"/><Relationship Id="rId30" Type="http://schemas.openxmlformats.org/officeDocument/2006/relationships/hyperlink" Target="https://www.sec.gov/ix?doc=/Archives/edgar/data/1974640/000119312526177342/apge-20260424.htm" TargetMode="External"/><Relationship Id="rId31" Type="http://schemas.openxmlformats.org/officeDocument/2006/relationships/hyperlink" Target="https://www.sec.gov/ix?doc=/Archives/edgar/data/1974640/000119312526177288/apge-20260421.htm" TargetMode="External"/><Relationship Id="rId32" Type="http://schemas.openxmlformats.org/officeDocument/2006/relationships/hyperlink" Target="https://www.sec.gov/ix?doc=/Archives/edgar/data/0001974640/000119312526269650/apge-20260609.htm" TargetMode="External"/><Relationship Id="rId33" Type="http://schemas.openxmlformats.org/officeDocument/2006/relationships/hyperlink" Target="https://www.sec.gov/ix?doc=/Archives/edgar/data/1551152/000110465926033387/abbv-20260508xdef14a.htm" TargetMode="External"/><Relationship Id="rId34" Type="http://schemas.openxmlformats.org/officeDocument/2006/relationships/hyperlink" Target="https://www.sec.gov/ix?doc=/Archives/edgar/data/1551152/000110465926059484/tm2614276d1_8k.htm" TargetMode="External"/><Relationship Id="rId35" Type="http://schemas.openxmlformats.org/officeDocument/2006/relationships/hyperlink" Target="https://www.sec.gov/ix?doc=/Archives/edgar/data/1974640/000119312526177342/apge-20260424.htm" TargetMode="External"/><Relationship Id="rId36" Type="http://schemas.openxmlformats.org/officeDocument/2006/relationships/hyperlink" Target="https://www.sec.gov/ix?doc=/Archives/edgar/data/1974640/000119312526177288/apge-20260421.htm" TargetMode="External"/><Relationship Id="rId37" Type="http://schemas.openxmlformats.org/officeDocument/2006/relationships/hyperlink" Target="https://www.sec.gov/ix?doc=/Archives/edgar/data/0001974640/000119312526269650/apge-20260609.htm" TargetMode="External"/><Relationship Id="rId38" Type="http://schemas.openxmlformats.org/officeDocument/2006/relationships/hyperlink" Target="https://www.sec.gov/ix?doc=/Archives/edgar/data/1551152/000110465926033387/abbv-20260508xdef14a.htm" TargetMode="External"/><Relationship Id="rId39" Type="http://schemas.openxmlformats.org/officeDocument/2006/relationships/hyperlink" Target="https://www.sec.gov/ix?doc=/Archives/edgar/data/1551152/000110465926059484/tm2614276d1_8k.htm" TargetMode="External"/><Relationship Id="rId40" Type="http://schemas.openxmlformats.org/officeDocument/2006/relationships/hyperlink" Target="https://www.sec.gov/ix?doc=/Archives/edgar/data/1974640/000119312526177342/apge-20260424.htm" TargetMode="External"/><Relationship Id="rId41" Type="http://schemas.openxmlformats.org/officeDocument/2006/relationships/hyperlink" Target="https://www.sec.gov/ix?doc=/Archives/edgar/data/1974640/000119312526177288/apge-20260421.htm" TargetMode="External"/><Relationship Id="rId42" Type="http://schemas.openxmlformats.org/officeDocument/2006/relationships/hyperlink" Target="https://www.sec.gov/ix?doc=/Archives/edgar/data/0001974640/000119312526269650/apge-20260609.htm" TargetMode="External"/><Relationship Id="rId43" Type="http://schemas.openxmlformats.org/officeDocument/2006/relationships/hyperlink" Target="https://www.sec.gov/ix?doc=/Archives/edgar/data/1551152/000110465926033387/abbv-20260508xdef14a.htm" TargetMode="External"/><Relationship Id="rId44" Type="http://schemas.openxmlformats.org/officeDocument/2006/relationships/hyperlink" Target="https://www.sec.gov/ix?doc=/Archives/edgar/data/1551152/000110465926059484/tm2614276d1_8k.htm" TargetMode="External"/><Relationship Id="rId45" Type="http://schemas.openxmlformats.org/officeDocument/2006/relationships/image" Target="media/image3.jpeg"/><Relationship Id="rId46" Type="http://schemas.openxmlformats.org/officeDocument/2006/relationships/image" Target="media/image4.jpeg"/><Relationship Id="rId47" Type="http://schemas.openxmlformats.org/officeDocument/2006/relationships/image" Target="media/image5.jpeg"/><Relationship Id="rId48" Type="http://schemas.openxmlformats.org/officeDocument/2006/relationships/image" Target="media/image6.jpeg"/><Relationship Id="rId49" Type="http://schemas.openxmlformats.org/officeDocument/2006/relationships/image" Target="media/image7.jpeg"/><Relationship Id="rId50" Type="http://schemas.openxmlformats.org/officeDocument/2006/relationships/image" Target="media/image8.jpeg"/><Relationship Id="rId51" Type="http://schemas.openxmlformats.org/officeDocument/2006/relationships/image" Target="media/image9.jpeg"/><Relationship Id="rId52" Type="http://schemas.openxmlformats.org/officeDocument/2006/relationships/image" Target="media/image10.jpeg"/><Relationship Id="rId53" Type="http://schemas.openxmlformats.org/officeDocument/2006/relationships/image" Target="media/image11.jpeg"/><Relationship Id="rId54" Type="http://schemas.openxmlformats.org/officeDocument/2006/relationships/image" Target="media/image12.jpeg"/><Relationship Id="rId55" Type="http://schemas.openxmlformats.org/officeDocument/2006/relationships/image" Target="media/image13.jpeg"/><Relationship Id="rId56" Type="http://schemas.openxmlformats.org/officeDocument/2006/relationships/image" Target="media/image14.jpeg"/><Relationship Id="rId57" Type="http://schemas.openxmlformats.org/officeDocument/2006/relationships/image" Target="media/image15.jpeg"/><Relationship Id="rId58" Type="http://schemas.openxmlformats.org/officeDocument/2006/relationships/image" Target="media/image16.jpeg"/><Relationship Id="rId59" Type="http://schemas.openxmlformats.org/officeDocument/2006/relationships/image" Target="media/image17.jpeg"/><Relationship Id="rId60" Type="http://schemas.openxmlformats.org/officeDocument/2006/relationships/image" Target="media/image18.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18219</Words>
  <Characters>103523</Characters>
  <CharactersWithSpaces>121674</CharactersWithSpaces>
  <Paragraphs>430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