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pge-20260630.htm"/>
        <w:bookmarkStart w:id="1" w:name="ksapge20260630"/>
        <w:bookmarkEnd w:id="0"/>
        <w:bookmarkEnd w:id="1"/>
        <w:r>
          <w:rPr>
            <w:rStyle w:val="InternetLink"/>
            <w:rFonts w:ascii="Times New Roman" w:hAnsi="Times New Roman"/>
            <w:b/>
            <w:color w:val="0000FF"/>
            <w:sz w:val="20"/>
            <w:u w:val="single"/>
          </w:rPr>
          <w:t>Table of Contents</w:t>
        </w:r>
      </w:hyperlink>
    </w:p>
    <w:p>
      <w:pPr>
        <w:pStyle w:val="TextBody"/>
        <w:bidi w:val="0"/>
        <w:spacing w:before="36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spacing w:before="0" w:after="120"/>
        <w:jc w:val="center"/>
        <w:rPr>
          <w:rFonts w:ascii="Times New Roman" w:hAnsi="Times New Roman"/>
          <w:b/>
          <w:color w:val="000000"/>
          <w:sz w:val="12"/>
        </w:rPr>
      </w:pPr>
      <w:r>
        <w:rPr>
          <w:rFonts w:ascii="Times New Roman" w:hAnsi="Times New Roman"/>
          <w:b/>
          <w:color w:val="000000"/>
          <w:sz w:val="12"/>
        </w:rPr>
        <w:t>WASHINGTON, DC 20549</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(Mark One)</w:t>
      </w:r>
    </w:p>
    <w:p>
      <w:pPr>
        <w:pStyle w:val="TextBody"/>
        <w:bidi w:val="0"/>
        <w:spacing w:before="120" w:after="283"/>
        <w:jc w:val="center"/>
        <w:rPr/>
      </w:pPr>
      <w:r>
        <w:rPr>
          <w:color w:val="000000"/>
        </w:rPr>
        <w:t xml:space="preserve">☒ </w:t>
      </w:r>
      <w:r>
        <w:rPr>
          <w:rFonts w:ascii="Times New Roman" w:hAnsi="Times New Roman"/>
          <w:b/>
          <w:color w:val="000000"/>
          <w:sz w:val="16"/>
        </w:rPr>
        <w:t>QUARTERLY REPORT PURSUANT TO SECTION 13 OR 15(d) OF THE SECURITIES EXCHANGE ACT OF 1934</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120" w:after="283"/>
        <w:jc w:val="center"/>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Commission File Number: 001-41740</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Apogee Therapeutics, Inc.</w:t>
      </w:r>
    </w:p>
    <w:p>
      <w:pPr>
        <w:pStyle w:val="TextBody"/>
        <w:bidi w:val="0"/>
        <w:jc w:val="center"/>
        <w:rPr>
          <w:rFonts w:ascii="Times New Roman" w:hAnsi="Times New Roman"/>
          <w:b/>
          <w:color w:val="000000"/>
          <w:sz w:val="12"/>
        </w:rPr>
      </w:pPr>
      <w:r>
        <w:rPr>
          <w:rFonts w:ascii="Times New Roman" w:hAnsi="Times New Roman"/>
          <w:b/>
          <w:color w:val="000000"/>
          <w:sz w:val="12"/>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t> </w:t>
      </w:r>
    </w:p>
    <w:tbl>
      <w:tblPr>
        <w:tblW w:w="3047" w:type="dxa"/>
        <w:jc w:val="left"/>
        <w:tblInd w:w="0" w:type="dxa"/>
        <w:tblLayout w:type="fixed"/>
        <w:tblCellMar>
          <w:top w:w="28" w:type="dxa"/>
          <w:left w:w="28" w:type="dxa"/>
          <w:bottom w:w="28" w:type="dxa"/>
          <w:right w:w="28" w:type="dxa"/>
        </w:tblCellMar>
      </w:tblPr>
      <w:tblGrid>
        <w:gridCol w:w="1696"/>
        <w:gridCol w:w="1351"/>
      </w:tblGrid>
      <w:tr>
        <w:trPr/>
        <w:tc>
          <w:tcPr>
            <w:tcW w:w="169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Delaware</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93-4958665</w:t>
            </w:r>
          </w:p>
        </w:tc>
      </w:tr>
      <w:tr>
        <w:trPr/>
        <w:tc>
          <w:tcPr>
            <w:tcW w:w="16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3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Number)</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1 Letterman Drive, Building B, Suite B6-800</w:t>
      </w:r>
    </w:p>
    <w:p>
      <w:pPr>
        <w:pStyle w:val="TextBody"/>
        <w:bidi w:val="0"/>
        <w:jc w:val="center"/>
        <w:rPr>
          <w:rFonts w:ascii="Times New Roman" w:hAnsi="Times New Roman"/>
          <w:sz w:val="20"/>
        </w:rPr>
      </w:pPr>
      <w:r>
        <w:rPr>
          <w:rFonts w:ascii="Times New Roman" w:hAnsi="Times New Roman"/>
          <w:b/>
          <w:color w:val="000000"/>
          <w:sz w:val="16"/>
        </w:rPr>
        <w:t>San Francisco, CA</w:t>
      </w:r>
      <w:r>
        <w:rPr>
          <w:rFonts w:ascii="Times New Roman" w:hAnsi="Times New Roman"/>
          <w:color w:val="000000"/>
          <w:sz w:val="20"/>
        </w:rPr>
        <w:t xml:space="preserve"> </w:t>
      </w:r>
      <w:r>
        <w:rPr>
          <w:rFonts w:ascii="Times New Roman" w:hAnsi="Times New Roman"/>
          <w:b/>
          <w:color w:val="000000"/>
          <w:sz w:val="16"/>
        </w:rPr>
        <w:t>94129</w:t>
      </w:r>
    </w:p>
    <w:p>
      <w:pPr>
        <w:pStyle w:val="TextBody"/>
        <w:bidi w:val="0"/>
        <w:jc w:val="center"/>
        <w:rPr>
          <w:rFonts w:ascii="Times New Roman" w:hAnsi="Times New Roman"/>
          <w:b/>
          <w:color w:val="000000"/>
          <w:sz w:val="16"/>
        </w:rPr>
      </w:pPr>
      <w:r>
        <w:rPr>
          <w:rFonts w:ascii="Times New Roman" w:hAnsi="Times New Roman"/>
          <w:b/>
          <w:color w:val="000000"/>
          <w:sz w:val="16"/>
        </w:rPr>
        <w:t>(650) 394</w:t>
        <w:noBreakHyphen/>
        <w:t>5230</w:t>
      </w:r>
    </w:p>
    <w:p>
      <w:pPr>
        <w:pStyle w:val="TextBody"/>
        <w:bidi w:val="0"/>
        <w:spacing w:before="120" w:after="283"/>
        <w:jc w:val="center"/>
        <w:rPr>
          <w:rFonts w:ascii="Times New Roman" w:hAnsi="Times New Roman"/>
          <w:b/>
          <w:color w:val="000000"/>
          <w:sz w:val="12"/>
        </w:rPr>
      </w:pPr>
      <w:r>
        <w:rPr>
          <w:rFonts w:ascii="Times New Roman" w:hAnsi="Times New Roman"/>
          <w:b/>
          <w:color w:val="000000"/>
          <w:sz w:val="12"/>
        </w:rPr>
        <w:t>(Address including zip code, and telephone number including area code, of registrant’s principal executive offices)</w:t>
      </w:r>
    </w:p>
    <w:p>
      <w:pPr>
        <w:pStyle w:val="TextBody"/>
        <w:bidi w:val="0"/>
        <w:spacing w:before="120" w:after="283"/>
        <w:jc w:val="center"/>
        <w:rPr>
          <w:rFonts w:ascii="Times New Roman" w:hAnsi="Times New Roman"/>
          <w:b/>
          <w:color w:val="000000"/>
          <w:sz w:val="12"/>
        </w:rPr>
      </w:pPr>
      <w:r>
        <w:rPr>
          <w:rFonts w:ascii="Times New Roman" w:hAnsi="Times New Roman"/>
          <w:b/>
          <w:color w:val="000000"/>
          <w:sz w:val="12"/>
        </w:rPr>
        <w:t>Former name, former address and former fiscal year, if changed since last report:</w:t>
      </w:r>
    </w:p>
    <w:p>
      <w:pPr>
        <w:pStyle w:val="TextBody"/>
        <w:bidi w:val="0"/>
        <w:spacing w:before="120" w:after="283"/>
        <w:jc w:val="center"/>
        <w:rPr>
          <w:rFonts w:ascii="Times New Roman" w:hAnsi="Times New Roman"/>
          <w:b/>
          <w:color w:val="000000"/>
          <w:sz w:val="12"/>
        </w:rPr>
      </w:pPr>
      <w:r>
        <w:rPr>
          <w:rFonts w:ascii="Times New Roman" w:hAnsi="Times New Roman"/>
          <w:b/>
          <w:color w:val="000000"/>
          <w:sz w:val="12"/>
        </w:rPr>
        <w:t>221 Crescent St., Bldg 17, Suite 102b</w:t>
      </w:r>
    </w:p>
    <w:p>
      <w:pPr>
        <w:pStyle w:val="TextBody"/>
        <w:bidi w:val="0"/>
        <w:spacing w:before="60" w:after="283"/>
        <w:jc w:val="center"/>
        <w:rPr>
          <w:rFonts w:ascii="Times New Roman" w:hAnsi="Times New Roman"/>
          <w:sz w:val="20"/>
        </w:rPr>
      </w:pPr>
      <w:r>
        <w:rPr>
          <w:rFonts w:ascii="Times New Roman" w:hAnsi="Times New Roman"/>
          <w:b/>
          <w:color w:val="000000"/>
          <w:sz w:val="12"/>
        </w:rPr>
        <w:t>Waltham, Massachusetts</w:t>
      </w:r>
      <w:r>
        <w:rPr>
          <w:rFonts w:ascii="Times New Roman" w:hAnsi="Times New Roman"/>
          <w:color w:val="000000"/>
          <w:sz w:val="20"/>
        </w:rPr>
        <w:t xml:space="preserve"> </w:t>
      </w:r>
      <w:r>
        <w:rPr>
          <w:rFonts w:ascii="Times New Roman" w:hAnsi="Times New Roman"/>
          <w:b/>
          <w:color w:val="000000"/>
          <w:sz w:val="12"/>
        </w:rPr>
        <w:t>02453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Exchange Act:</w:t>
      </w:r>
    </w:p>
    <w:p>
      <w:pPr>
        <w:pStyle w:val="TextBody"/>
        <w:bidi w:val="0"/>
        <w:jc w:val="center"/>
        <w:rPr/>
      </w:pPr>
      <w:r>
        <w:rPr/>
        <w:t> </w:t>
      </w:r>
    </w:p>
    <w:tbl>
      <w:tblPr>
        <w:tblW w:w="8103" w:type="dxa"/>
        <w:jc w:val="left"/>
        <w:tblInd w:w="0" w:type="dxa"/>
        <w:tblLayout w:type="fixed"/>
        <w:tblCellMar>
          <w:top w:w="28" w:type="dxa"/>
          <w:left w:w="28" w:type="dxa"/>
          <w:bottom w:w="28" w:type="dxa"/>
          <w:right w:w="28" w:type="dxa"/>
        </w:tblCellMar>
      </w:tblPr>
      <w:tblGrid>
        <w:gridCol w:w="3331"/>
        <w:gridCol w:w="1456"/>
        <w:gridCol w:w="3316"/>
      </w:tblGrid>
      <w:tr>
        <w:trPr/>
        <w:tc>
          <w:tcPr>
            <w:tcW w:w="333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 per share</w:t>
            </w:r>
          </w:p>
        </w:tc>
        <w:tc>
          <w:tcPr>
            <w:tcW w:w="145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APGE</w:t>
            </w:r>
          </w:p>
        </w:tc>
        <w:tc>
          <w:tcPr>
            <w:tcW w:w="33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As of August 3, 2026, the registrant had 75,687,735 shares of common stock, $0.00001 par value per share, outstanding, comprising 62,201,093</w:t>
      </w:r>
      <w:r>
        <w:rPr>
          <w:rFonts w:ascii="Times New Roman" w:hAnsi="Times New Roman"/>
          <w:color w:val="000000"/>
          <w:sz w:val="20"/>
        </w:rPr>
        <w:t xml:space="preserve"> </w:t>
      </w:r>
      <w:r>
        <w:rPr>
          <w:rFonts w:ascii="Times New Roman" w:hAnsi="Times New Roman"/>
          <w:color w:val="000000"/>
          <w:sz w:val="16"/>
        </w:rPr>
        <w:t>shares of voting common stock, $0.00001 par value per share, and 13,486,642</w:t>
      </w:r>
      <w:r>
        <w:rPr>
          <w:rFonts w:ascii="Times New Roman" w:hAnsi="Times New Roman"/>
          <w:color w:val="000000"/>
          <w:sz w:val="20"/>
        </w:rPr>
        <w:t xml:space="preserve"> </w:t>
      </w:r>
      <w:r>
        <w:rPr>
          <w:rFonts w:ascii="Times New Roman" w:hAnsi="Times New Roman"/>
          <w:color w:val="000000"/>
          <w:sz w:val="16"/>
        </w:rPr>
        <w:t>shares of non-voting common stock, $0.00001 par value per share.</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0" w:after="36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bookmarkStart w:id="3" w:name="toc"/>
      <w:bookmarkEnd w:id="3"/>
    </w:p>
    <w:tbl>
      <w:tblPr>
        <w:tblW w:w="10205" w:type="dxa"/>
        <w:jc w:val="left"/>
        <w:tblInd w:w="0" w:type="dxa"/>
        <w:tblLayout w:type="fixed"/>
        <w:tblCellMar>
          <w:top w:w="28" w:type="dxa"/>
          <w:left w:w="28" w:type="dxa"/>
          <w:bottom w:w="28" w:type="dxa"/>
          <w:right w:w="28" w:type="dxa"/>
        </w:tblCellMar>
      </w:tblPr>
      <w:tblGrid>
        <w:gridCol w:w="781"/>
        <w:gridCol w:w="8912"/>
        <w:gridCol w:w="512"/>
      </w:tblGrid>
      <w:tr>
        <w:trPr/>
        <w:tc>
          <w:tcPr>
            <w:tcW w:w="781" w:type="dxa"/>
            <w:tcBorders/>
            <w:vAlign w:val="center"/>
          </w:tcPr>
          <w:p>
            <w:pPr>
              <w:pStyle w:val="TableContents"/>
              <w:bidi w:val="0"/>
              <w:spacing w:before="0" w:after="283"/>
              <w:jc w:val="left"/>
              <w:rPr>
                <w:sz w:val="4"/>
                <w:szCs w:val="4"/>
              </w:rPr>
            </w:pPr>
            <w:r>
              <w:rPr>
                <w:sz w:val="4"/>
                <w:szCs w:val="4"/>
              </w:rPr>
            </w:r>
          </w:p>
        </w:tc>
        <w:tc>
          <w:tcPr>
            <w:tcW w:w="89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financial_information">
              <w:r>
                <w:rPr>
                  <w:rStyle w:val="InternetLink"/>
                  <w:rFonts w:ascii="Times New Roman" w:hAnsi="Times New Roman"/>
                  <w:color w:val="0000FF"/>
                  <w:sz w:val="20"/>
                  <w:u w:val="single"/>
                </w:rPr>
                <w:t>1</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Condensed Consolidated 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condensed_consolidated_balance_sheets">
              <w:r>
                <w:rPr>
                  <w:rStyle w:val="InternetLink"/>
                  <w:rFonts w:ascii="Times New Roman" w:hAnsi="Times New Roman"/>
                  <w:color w:val="0000FF"/>
                  <w:sz w:val="20"/>
                  <w:u w:val="single"/>
                </w:rPr>
                <w:t>1</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condensed_consolidated_balance_sheets">
              <w:r>
                <w:rPr>
                  <w:rStyle w:val="InternetLink"/>
                  <w:rFonts w:ascii="Times New Roman" w:hAnsi="Times New Roman"/>
                  <w:color w:val="0000FF"/>
                  <w:sz w:val="20"/>
                  <w:u w:val="single"/>
                </w:rPr>
                <w:t>1</w:t>
              </w:r>
            </w:hyperlink>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_of_opt">
              <w:r>
                <w:rPr>
                  <w:rStyle w:val="InternetLink"/>
                  <w:rFonts w:ascii="Times New Roman" w:hAnsi="Times New Roman"/>
                  <w:color w:val="0000FF"/>
                  <w:sz w:val="20"/>
                  <w:u w:val="single"/>
                </w:rPr>
                <w:t>Condensed Consolidated Statement of Operations for the Three and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_of_opt">
              <w:r>
                <w:rPr>
                  <w:rStyle w:val="InternetLink"/>
                  <w:rFonts w:ascii="Times New Roman" w:hAnsi="Times New Roman"/>
                  <w:color w:val="0000FF"/>
                  <w:sz w:val="20"/>
                  <w:u w:val="single"/>
                </w:rPr>
                <w:t>2</w:t>
              </w:r>
            </w:hyperlink>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_of_comprehensive_loss">
              <w:r>
                <w:rPr>
                  <w:rStyle w:val="InternetLink"/>
                  <w:rFonts w:ascii="Times New Roman" w:hAnsi="Times New Roman"/>
                  <w:color w:val="0000FF"/>
                  <w:sz w:val="20"/>
                  <w:u w:val="single"/>
                </w:rPr>
                <w:t>Condensed Consolidated Statement of Comprehensive Loss for the Three and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statement_of_comprehensive_loss">
              <w:r>
                <w:rPr>
                  <w:rStyle w:val="InternetLink"/>
                  <w:rFonts w:ascii="Times New Roman" w:hAnsi="Times New Roman"/>
                  <w:color w:val="0000FF"/>
                  <w:sz w:val="20"/>
                  <w:u w:val="single"/>
                </w:rPr>
                <w:t>3</w:t>
              </w:r>
            </w:hyperlink>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atement_of_stockholders_equity">
              <w:r>
                <w:rPr>
                  <w:rStyle w:val="InternetLink"/>
                  <w:rFonts w:ascii="Times New Roman" w:hAnsi="Times New Roman"/>
                  <w:color w:val="0000FF"/>
                  <w:sz w:val="20"/>
                  <w:u w:val="single"/>
                </w:rPr>
                <w:t>Condensed Consolidated Statement of Stockholders’ Equity for the Three and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statement_of_stockholders_equity">
              <w:r>
                <w:rPr>
                  <w:rStyle w:val="InternetLink"/>
                  <w:rFonts w:ascii="Times New Roman" w:hAnsi="Times New Roman"/>
                  <w:color w:val="0000FF"/>
                  <w:sz w:val="20"/>
                  <w:u w:val="single"/>
                </w:rPr>
                <w:t>4</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Consolidated Statement of Cash Flows for the Six Months Ended June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statement_of_cash_flows">
              <w:r>
                <w:rPr>
                  <w:rStyle w:val="InternetLink"/>
                  <w:rFonts w:ascii="Times New Roman" w:hAnsi="Times New Roman"/>
                  <w:color w:val="0000FF"/>
                  <w:sz w:val="20"/>
                  <w:u w:val="single"/>
                </w:rPr>
                <w:t>6</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the Unaudited Interim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notes_to_condensed_consolidated">
              <w:r>
                <w:rPr>
                  <w:rStyle w:val="InternetLink"/>
                  <w:rFonts w:ascii="Times New Roman" w:hAnsi="Times New Roman"/>
                  <w:color w:val="0000FF"/>
                  <w:sz w:val="20"/>
                  <w:u w:val="single"/>
                </w:rPr>
                <w:t>7</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2_management_discussion_and">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2_management_discussion_and">
              <w:r>
                <w:rPr>
                  <w:rStyle w:val="InternetLink"/>
                  <w:rFonts w:ascii="Times New Roman" w:hAnsi="Times New Roman"/>
                  <w:color w:val="0000FF"/>
                  <w:sz w:val="20"/>
                  <w:u w:val="single"/>
                </w:rPr>
                <w:t>28</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3_quantitative_and_qualitative">
              <w:r>
                <w:rPr>
                  <w:rStyle w:val="InternetLink"/>
                  <w:rFonts w:ascii="Times New Roman" w:hAnsi="Times New Roman"/>
                  <w:color w:val="0000FF"/>
                  <w:sz w:val="20"/>
                  <w:u w:val="single"/>
                </w:rPr>
                <w:t>47</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4_controls_and_procedures">
              <w:r>
                <w:rPr>
                  <w:rStyle w:val="InternetLink"/>
                  <w:rFonts w:ascii="Times New Roman" w:hAnsi="Times New Roman"/>
                  <w:color w:val="0000FF"/>
                  <w:sz w:val="20"/>
                  <w:u w:val="single"/>
                </w:rPr>
                <w:t>47</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color w:val="0000FF"/>
                  <w:sz w:val="20"/>
                  <w:u w:val="single"/>
                </w:rPr>
                <w:t>48</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1_legal_proceedings">
              <w:r>
                <w:rPr>
                  <w:rStyle w:val="InternetLink"/>
                  <w:rFonts w:ascii="Times New Roman" w:hAnsi="Times New Roman"/>
                  <w:color w:val="0000FF"/>
                  <w:sz w:val="20"/>
                  <w:u w:val="single"/>
                </w:rPr>
                <w:t>48</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1a_risk_factors">
              <w:r>
                <w:rPr>
                  <w:rStyle w:val="InternetLink"/>
                  <w:rFonts w:ascii="Times New Roman" w:hAnsi="Times New Roman"/>
                  <w:color w:val="0000FF"/>
                  <w:sz w:val="20"/>
                  <w:u w:val="single"/>
                </w:rPr>
                <w:t>48</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2_unregistered_sales_of_equity">
              <w:r>
                <w:rPr>
                  <w:rStyle w:val="InternetLink"/>
                  <w:rFonts w:ascii="Times New Roman" w:hAnsi="Times New Roman"/>
                  <w:color w:val="0000FF"/>
                  <w:sz w:val="20"/>
                  <w:u w:val="single"/>
                </w:rPr>
                <w:t>82</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3_defaults_upon_senior_securities">
              <w:r>
                <w:rPr>
                  <w:rStyle w:val="InternetLink"/>
                  <w:rFonts w:ascii="Times New Roman" w:hAnsi="Times New Roman"/>
                  <w:color w:val="0000FF"/>
                  <w:sz w:val="20"/>
                  <w:u w:val="single"/>
                </w:rPr>
                <w:t>82</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4_mine_safety_disclosures">
              <w:r>
                <w:rPr>
                  <w:rStyle w:val="InternetLink"/>
                  <w:rFonts w:ascii="Times New Roman" w:hAnsi="Times New Roman"/>
                  <w:color w:val="0000FF"/>
                  <w:sz w:val="20"/>
                  <w:u w:val="single"/>
                </w:rPr>
                <w:t>82</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5_other_information">
              <w:r>
                <w:rPr>
                  <w:rStyle w:val="InternetLink"/>
                  <w:rFonts w:ascii="Times New Roman" w:hAnsi="Times New Roman"/>
                  <w:color w:val="0000FF"/>
                  <w:sz w:val="20"/>
                  <w:u w:val="single"/>
                </w:rPr>
                <w:t>82</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item_6_exhibits">
              <w:r>
                <w:rPr>
                  <w:rStyle w:val="InternetLink"/>
                  <w:rFonts w:ascii="Times New Roman" w:hAnsi="Times New Roman"/>
                  <w:color w:val="0000FF"/>
                  <w:sz w:val="20"/>
                  <w:u w:val="single"/>
                </w:rPr>
                <w:t>83</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2"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Times New Roman" w:hAnsi="Times New Roman"/>
                  <w:color w:val="0000FF"/>
                  <w:sz w:val="20"/>
                  <w:u w:val="single"/>
                </w:rPr>
                <w:t>85</w:t>
              </w:r>
            </w:hyperlink>
          </w:p>
        </w:tc>
      </w:tr>
    </w:tbl>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360" w:after="283"/>
        <w:jc w:val="center"/>
        <w:rPr>
          <w:rFonts w:ascii="Times New Roman" w:hAnsi="Times New Roman"/>
          <w:color w:val="000000"/>
          <w:sz w:val="20"/>
        </w:rPr>
      </w:pPr>
      <w:r>
        <w:rPr>
          <w:rFonts w:ascii="Times New Roman" w:hAnsi="Times New Roman"/>
          <w:color w:val="000000"/>
          <w:sz w:val="20"/>
        </w:rPr>
        <w:t>SPECIAL NOTE REGARDING FORWARD-LOOKING STATEMENTS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within the meaning of the federal securities laws, which statements are subject to substantial risks and uncertainties and are based on current expectations, estimates, forecasts and assumptions. All statements other than statements of historical fact included in this Quarterly Report, including statements concerning our plans, objectives, goals, strategies, future events, future revenues or performance, capital requirements or financing needs, capital expenditures, commitments, preclinical studies, clinical trials, plans or intentions relating to product candidates, expected markets and business trends, and other statements, including without limitation, those discussed under the sections titled “Risk Factors” and “Management’s Discussion and Analysis of Financial Condition and Results of Operations”, are forward-looking statements. In some cases, you can identify forward-looking statements by terms such as “may,” “might,” “will,” “would,” “shall,” “objective,” “intend,” “target,” “should,” “could,” “can,” “expect,” “anticipate,” “believe,” “design,” “estimate,” “forecast,” “predict,” “potential,” “plan,” “seek,” or “continue” or the negative of these terms and similar expressions intended to identify forward-looking statements. Forward-looking statements reflect our current views with respect to future events. Given the significant risks and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a number of risks, uncertainties and other factors that could cause our actual results to differ materially from the forward-looking statements expressed or implied in this Quarterly Report. Such risks, uncertainties and other factors include, among others,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occurrence of any event, change or other circumstance that could give rise to the termination of the Agreement and Plan of Merger (the “Merger Agreement”) that we entered into on June 18, 2026 with Andor LLC (“Parent”), a wholly owned subsidiary of AbbVie Inc. (“AbbVie”), Andor Merger Co., a wholly owned subsidiary of Parent (“Merger Sub”), and solely, for the limited purposes set forth therein, AbbVie, pursuant to which, among other things, Merger Sub will merge with and into the Company (the “Merger”), with the Company surviving as a wholly owned subsidiary of Parent;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to satisfy required closing conditions under the Merger Agreement, including, but not limited to, approval of the Merger and adoption of the Merger Agreement by our stockholders and the receipt of required regulatory approvals, or the failure to complete the Merger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 of management’s attention from our ongoing business operations due to the pendency of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the announcement of the Merger on our operating results and business generally, including, but not limited to,</w:t>
        <w:br/>
        <w:t>our ability to retain and hire key personnel and maintain our relationships with business partners, manufacturers,</w:t>
        <w:br/>
        <w:t>customers, vendors, regulatory authorities and others with whom we do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the pending Merger on our strategic plans and operations and our ability to respond effectively to</w:t>
        <w:br/>
        <w:t>competitive pressures, industry developments and future opportunities;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commercialize our programs for the treatment of atopic dermatitis, asthma, eosinophilic esophagitis, chronic obstructive pulmonary disease, and related inflammatory and immunology indications with high unmet need;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funding for our operations, including funding necessary to complete the development and potential commercialization of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focus of our ongoing and future preclinical studies and clinical trials and the reporting of data from those studies and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beneficial characteristics, safety, efficacy and therapeutic effects of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relating to the further development of our programs, including additional indications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the market opportunity for our programs, including our estimates of the number of patients who suffer from the diseases we are targeting;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continued reliance on third parties to conduct additional preclinical studies and clinical trials of our programs and for the manufacture of our product candidates for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cost and timing of our preclinical and clinical development activities and planned clinical trials;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continuation of our existing collaborations and licensing and other arrangements and entry into new collaborations and licensing and other arrangements that may be necessary or desirable to develop, manufacture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our ability to obtain and maintain regulatory approvals for our programs, as well as potential future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rate and degree of market acceptance of our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competing treatments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notwithstanding the effect of the announcement of the Merger, our general ability to attract and retain key management and technical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ability to obtain, maintain and enforce intellectual property protection for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macroeconomic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period over which we estimate our existing cash and cash equivalents, marketable securities and long-term marketable securities will be sufficient to fund our future operating expenses and capital expenditure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and other risks and uncertainties and other factors, including those discussed under the section titled “Risk Factors” of this Quarterly Report, may cause our actual results and outcomes, or timing of our results or outcomes, to differ materially and adversely from the forward-looking statements expressed or implied in this Quarterly Report, including factors disclosed in the sections titled “Risk Factors” and “Management’s Discussion and Analysis of Financial Condition and Results of Operations.” You should evaluate all forward-looking statements made in this Quarterly Report in the context of these 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risks, uncertainties and other factors referred to above and elsewhere in this Quarterly Report may not contain all of the risks, uncertainties and other factors that may affect us, our future results or our operations and do not assume the</w:t>
        <w:br/>
        <w:t>consummation of the pending Merger, unless specifically stated otherwise. Moreover, new risks may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forward-looking statements in this Quarterly Report apply only as of the date made and are expressly qualified in their entirety by this and other cautionary statements included in this Quarterly Report. Except as required by law, we undertake no obligation to publicly update or revise any forward-looking statements, whether as a result of new information, subsequent events, changes in assumptions or circumstances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such as “we believe” and similar statements reflect our beliefs and opinions on the relevant subject. These statements are based upon information available to us as of the date of this Quarterly Report, and while we believe we have a reasonable basis for such statements, our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Apogee name and logo are our registered trademarks. This Quarterly Report contains references to our trademarks and to trademarks and service marks belonging to other entities. Solely for convenience, trademarks, service marks and trade names referred to in this Quarterly Report, including logos, artwork and other visual displays, may appear without the ®, </w:t>
      </w:r>
      <w:r>
        <w:rPr>
          <w:rFonts w:ascii="Times New Roman" w:hAnsi="Times New Roman"/>
          <w:color w:val="000000"/>
          <w:sz w:val="13"/>
        </w:rPr>
        <w:t>SM</w:t>
      </w:r>
      <w:r>
        <w:rPr>
          <w:rFonts w:ascii="Times New Roman" w:hAnsi="Times New Roman"/>
          <w:color w:val="000000"/>
          <w:sz w:val="20"/>
        </w:rPr>
        <w:t>,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financial_information"/>
      <w:bookmarkEnd w:id="4"/>
      <w:r>
        <w:rPr>
          <w:rFonts w:ascii="Times New Roman" w:hAnsi="Times New Roman"/>
          <w:b/>
          <w:color w:val="000000"/>
          <w:sz w:val="20"/>
        </w:rPr>
        <w:t>PART I – FINANCIAL INFORMATION</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240" w:after="28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07"/>
        <w:gridCol w:w="146"/>
        <w:gridCol w:w="211"/>
        <w:gridCol w:w="931"/>
        <w:gridCol w:w="166"/>
        <w:gridCol w:w="146"/>
        <w:gridCol w:w="219"/>
        <w:gridCol w:w="967"/>
        <w:gridCol w:w="612"/>
      </w:tblGrid>
      <w:tr>
        <w:trPr/>
        <w:tc>
          <w:tcPr>
            <w:tcW w:w="6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131,549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598,643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741,358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172,730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937,134</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share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$0.00001 par value, 400,000,000 authorized, 75,611,894 issued and 75,339,499 outstanding as of June 30, 2026; 400,000,000 authorized, 69,038,943 issued and 68,401,349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1,464,561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(561,759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903,883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937,134</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240" w:after="283"/>
        <w:jc w:val="center"/>
        <w:rPr>
          <w:rFonts w:ascii="Times New Roman" w:hAnsi="Times New Roman"/>
          <w:b/>
          <w:color w:val="000000"/>
          <w:sz w:val="20"/>
        </w:rPr>
      </w:pPr>
      <w:bookmarkStart w:id="6" w:name="condensed_consolidated_statement_of_opt"/>
      <w:bookmarkEnd w:id="6"/>
      <w:r>
        <w:rPr>
          <w:rFonts w:ascii="Times New Roman" w:hAnsi="Times New Roman"/>
          <w:b/>
          <w:color w:val="000000"/>
          <w:sz w:val="20"/>
        </w:rPr>
        <w:t>CONDENSED CONSOLIDATED STATEMENT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after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75,443,496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58,428,344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72,571,921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58,312,452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spacing w:before="40" w:after="283"/>
        <w:jc w:val="both"/>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Includes related party amounts of $215</w:t>
      </w:r>
      <w:r>
        <w:rPr>
          <w:color w:val="000000"/>
        </w:rPr>
        <w:t xml:space="preserve"> </w:t>
      </w:r>
      <w:r>
        <w:rPr>
          <w:rFonts w:ascii="Times New Roman" w:hAnsi="Times New Roman"/>
          <w:color w:val="000000"/>
          <w:sz w:val="16"/>
        </w:rPr>
        <w:t>and $855</w:t>
      </w:r>
      <w:r>
        <w:rPr>
          <w:color w:val="000000"/>
        </w:rPr>
        <w:t xml:space="preserve"> </w:t>
      </w:r>
      <w:r>
        <w:rPr>
          <w:rFonts w:ascii="Times New Roman" w:hAnsi="Times New Roman"/>
          <w:color w:val="000000"/>
          <w:sz w:val="16"/>
        </w:rPr>
        <w:t>for the three and six months ended June 30, 2026, respectively, and $98</w:t>
      </w:r>
      <w:r>
        <w:rPr>
          <w:color w:val="000000"/>
        </w:rPr>
        <w:t xml:space="preserve"> </w:t>
      </w:r>
      <w:r>
        <w:rPr>
          <w:rFonts w:ascii="Times New Roman" w:hAnsi="Times New Roman"/>
          <w:color w:val="000000"/>
          <w:sz w:val="16"/>
        </w:rPr>
        <w:t>and $130</w:t>
      </w:r>
      <w:r>
        <w:rPr>
          <w:color w:val="000000"/>
        </w:rPr>
        <w:t xml:space="preserve"> </w:t>
      </w:r>
      <w:r>
        <w:rPr>
          <w:rFonts w:ascii="Times New Roman" w:hAnsi="Times New Roman"/>
          <w:color w:val="000000"/>
          <w:sz w:val="16"/>
        </w:rPr>
        <w:t>for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240" w:after="283"/>
        <w:jc w:val="center"/>
        <w:rPr>
          <w:rFonts w:ascii="Times New Roman" w:hAnsi="Times New Roman"/>
          <w:sz w:val="20"/>
        </w:rPr>
      </w:pPr>
      <w:bookmarkStart w:id="7" w:name="statement_of_comprehensive_loss"/>
      <w:bookmarkEnd w:id="7"/>
      <w:r>
        <w:rPr>
          <w:rFonts w:ascii="Times New Roman" w:hAnsi="Times New Roman"/>
          <w:b/>
          <w:color w:val="000000"/>
          <w:sz w:val="20"/>
        </w:rPr>
        <w:t>CONDENSED CONSOLIDATED STATEMENT OF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(In thousands)</w:t>
      </w:r>
    </w:p>
    <w:tbl>
      <w:tblPr>
        <w:tblW w:w="9522"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166"/>
        <w:gridCol w:w="146"/>
        <w:gridCol w:w="211"/>
        <w:gridCol w:w="841"/>
        <w:gridCol w:w="166"/>
        <w:gridCol w:w="146"/>
        <w:gridCol w:w="211"/>
        <w:gridCol w:w="841"/>
        <w:gridCol w:w="2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240" w:after="283"/>
        <w:jc w:val="center"/>
        <w:rPr>
          <w:rFonts w:ascii="Times New Roman" w:hAnsi="Times New Roman"/>
          <w:b/>
          <w:color w:val="000000"/>
          <w:sz w:val="20"/>
        </w:rPr>
      </w:pPr>
      <w:bookmarkStart w:id="8" w:name="statement_of_stockholders_equity"/>
      <w:bookmarkEnd w:id="8"/>
      <w:r>
        <w:rPr>
          <w:rFonts w:ascii="Times New Roman" w:hAnsi="Times New Roman"/>
          <w:b/>
          <w:color w:val="000000"/>
          <w:sz w:val="20"/>
        </w:rPr>
        <w:t>CONDENSED CONSOLIDATED STATEMENT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68"/>
        <w:gridCol w:w="146"/>
        <w:gridCol w:w="146"/>
        <w:gridCol w:w="1036"/>
        <w:gridCol w:w="146"/>
        <w:gridCol w:w="146"/>
        <w:gridCol w:w="261"/>
        <w:gridCol w:w="430"/>
        <w:gridCol w:w="146"/>
        <w:gridCol w:w="146"/>
        <w:gridCol w:w="211"/>
        <w:gridCol w:w="931"/>
        <w:gridCol w:w="146"/>
        <w:gridCol w:w="146"/>
        <w:gridCol w:w="225"/>
        <w:gridCol w:w="901"/>
        <w:gridCol w:w="166"/>
        <w:gridCol w:w="146"/>
        <w:gridCol w:w="319"/>
        <w:gridCol w:w="958"/>
        <w:gridCol w:w="166"/>
        <w:gridCol w:w="146"/>
        <w:gridCol w:w="232"/>
        <w:gridCol w:w="1029"/>
        <w:gridCol w:w="212"/>
      </w:tblGrid>
      <w:tr>
        <w:trPr/>
        <w:tc>
          <w:tcPr>
            <w:tcW w:w="1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 xml:space="preserve">COMPREHENSIVE </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net of issuance costs of $25,059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377,441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net of issuance costs of $769, under at the market equity offering program (“ATM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74,882,396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1,255,793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75,339,499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1,194,604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STATEMENT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67"/>
        <w:gridCol w:w="146"/>
        <w:gridCol w:w="146"/>
        <w:gridCol w:w="1036"/>
        <w:gridCol w:w="146"/>
        <w:gridCol w:w="146"/>
        <w:gridCol w:w="261"/>
        <w:gridCol w:w="430"/>
        <w:gridCol w:w="146"/>
        <w:gridCol w:w="146"/>
        <w:gridCol w:w="211"/>
        <w:gridCol w:w="931"/>
        <w:gridCol w:w="146"/>
        <w:gridCol w:w="146"/>
        <w:gridCol w:w="225"/>
        <w:gridCol w:w="901"/>
        <w:gridCol w:w="166"/>
        <w:gridCol w:w="146"/>
        <w:gridCol w:w="344"/>
        <w:gridCol w:w="934"/>
        <w:gridCol w:w="166"/>
        <w:gridCol w:w="146"/>
        <w:gridCol w:w="268"/>
        <w:gridCol w:w="993"/>
        <w:gridCol w:w="212"/>
      </w:tblGrid>
      <w:tr>
        <w:trPr/>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 xml:space="preserve">COMPREHENSIVE </w:t>
              <w:b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58,062,898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716,794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58,304,801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1,033,542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673,362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58,560,525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619,401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231F20"/>
          <w:sz w:val="20"/>
        </w:rPr>
      </w:pPr>
      <w:r>
        <w:rPr>
          <w:rFonts w:ascii="Times New Roman" w:hAnsi="Times New Roman"/>
          <w:color w:val="231F20"/>
          <w:sz w:val="20"/>
        </w:rPr>
        <w:t>The accompanying notes are an integral part of these condensed consolidated financial statements.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240" w:after="283"/>
        <w:jc w:val="center"/>
        <w:rPr>
          <w:rFonts w:ascii="Times New Roman" w:hAnsi="Times New Roman"/>
          <w:b/>
          <w:color w:val="000000"/>
          <w:sz w:val="20"/>
        </w:rPr>
      </w:pPr>
      <w:bookmarkStart w:id="9" w:name="statement_of_cash_flows"/>
      <w:bookmarkEnd w:id="9"/>
      <w:r>
        <w:rPr>
          <w:rFonts w:ascii="Times New Roman" w:hAnsi="Times New Roman"/>
          <w:b/>
          <w:color w:val="000000"/>
          <w:sz w:val="20"/>
        </w:rPr>
        <w:t>CONDENSED CONSOLIDATED STATEMENT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778"/>
        <w:gridCol w:w="146"/>
        <w:gridCol w:w="217"/>
        <w:gridCol w:w="866"/>
        <w:gridCol w:w="171"/>
        <w:gridCol w:w="150"/>
        <w:gridCol w:w="217"/>
        <w:gridCol w:w="866"/>
        <w:gridCol w:w="794"/>
      </w:tblGrid>
      <w:tr>
        <w:trPr/>
        <w:tc>
          <w:tcPr>
            <w:tcW w:w="6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(121,435</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(8,359</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(110,506</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(145,580</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and sales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318,778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241,772</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(417,212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91,107</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377,441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the ATM Facility,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options and 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Revenue Share Agreement (as defined below), net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518,184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(17,597</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131,549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142,083</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124,486</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 obtained in exchange for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Issuance of common stock upon exercise of stock options for which proceeds had not yet been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Unpaid issuance costs related to the revenue share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124,192</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124,486</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240" w:after="283"/>
        <w:jc w:val="center"/>
        <w:rPr>
          <w:rFonts w:ascii="Times New Roman" w:hAnsi="Times New Roman"/>
          <w:b/>
          <w:color w:val="000000"/>
          <w:sz w:val="20"/>
        </w:rPr>
      </w:pPr>
      <w:bookmarkStart w:id="10" w:name="notes_to_condensed_consolidated"/>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Apogee Therapeutics, Inc., together with its consolidated subsidiary (collectively, “Apogee” or the “Company”), is a clinical stage biotechnology company advancing optimized, novel biologics with the potential for differentiated efficacy and dosing in the largest inflammatory and immunology (“I&amp;I”) markets, including for the treatment of atopic dermatitis (“AD”), asthma, eosinophilic esophagitis (“EoE”), chronic obstructive pulmonary disease (“COPD”), and other I&amp;I indications. Apogee’s antibody programs are designed to overcome limitations of existing therapies by targeting well-established mechanisms of action and incorporating advanced antibody engineering to optimize half-life and other properties.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risks and uncertainties common to early stage companies in the biotechnology industry, including, but not limited to, completing preclinical studies and clinical trials, obtaining regulatory approval for its programs,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programs currently under development, APG777 (“zumilokibart”), APG279 (zumilokibart + APG990), APG273 (zumilokibart + APG333), APG531 and APG808,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reporting capabilities. Even if the Company’s development efforts are successful, it is uncertain when, if ever, the Company will realize revenue from product sales. The Company has primarily funded its operations with proceeds from the sales of preferred units, common stock, and Blackstone Life Sciences (“BXLS”) royalty and has not generated any revenue since inception.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the Company may need substantial additional funding to support its continued operations and growth strategy. Until such a time as the Company can generate significant revenue from product sales, if ever, the Company expects to finance its operations through the sale of equity, debt financings, royalty payments under the Revenue Share Agreement (as defined below) or other capital sources, including collaborations with other companies or other strategic transactions. The Company may be unable to raise additional funds or enter into such other agreements on favorable terms, or at all. If the Company fails to raise capital or enter into such agreements as, and when, needed, the Company may have to significantly delay, scale back or discontinue the development and commercialization of one or more of its programs.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Agreement and Plan of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18, 2026, the Company entered into an Agreement and Plan of Merger (the “Merger Agreement”) with Andor LLC (“Parent”), a wholly owned subsidiary of AbbVie Inc. (“AbbVie”), Andor Merger Co., a wholly owned subsidiary of Parent (“Merger Sub”) and solely, for the limited purposes set forth therein, AbbVie. Subject to the satisfaction or waiver of the conditions set forth in the Merger Agreement, Merger Sub will merge with and into the Company (the “Merger”), with the Company surviving the Merger as a wholly owned subsidiary of Parent.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Company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whether there are conditions and events, considered in the aggregate, that raise substantial doubt about its ability to continue as a going concern within one year after the date that the accompanying consolidated financial statements are issued. The Company had an accumulated deficit of $721.7 million as of June 30, 2026. Further, the Company incurred a net loss of $160.0 million and experienced negative cash flows from operations of $127.0 million for the six months ended June 30, 2026. Based on the Company’s current operating plan, it estimates that its existing cash and cash equivalents of $105.6 million, marketable securities of $866.4 million and long-term marketable securities of $321.9 million as of June 30, 2026, will be sufficient to enable the Company to fund its operating expenses and capital requirements through at least the next 12 months from the issuance of these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subject to those risks associated with any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 If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fails to become profitable or is unable to sustain profitability on a continuing basis, then it may be unable to continue its operations at planned levels and be forced to reduce its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contains references to the Company’s programs, which are used interchangeably to refer to the Company’s clinical programs within its pipeline and its products under development.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the significant accounting policies as disclosed in Note 2 to the consolidated financial statements included in the Company’s Annual Report on Form 10-K for the year ended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consolidated financial statements include the accounts of Apogee Therapeutics, Inc. and its wholly-owned subsidiary, Apogee Therapeutics Securities Corporation, formed as a Massachusetts security corporation in September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 In the Company’s management opinion, the information furnished in these unaudited condensed consolidated financial statements reflects all adjustments, all of which are of a normal and recurring nature, necessary for a fair presentation of the financial position and results of operations for the interim reported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consolidated financial statements include the accounts of Apogee Therapeutics, Inc. and its wholly-owned subsidiary. All intercompany balances and transactions have been eliminated in consolidation.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relied upon in preparing the accompanying consolidated financial statements include, among others: research and development expenses and related prepaid or accrued costs, the valuation of equity-based compensation awards and related expense, and the liability related to the sale of future royalties including the estimation of future payments and the related non-cash interest expense.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one operating segment and one reporting unit. The Company’s chief operating decision maker, its Chief Executive Officer, manages the Company’s operations on a consolidated basis for the purposes of assessing performance and allocating resources. All of the Company’s assets are located in the United States.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required to disclose information on all assets and liabilities reported at fair value that enables an assessment of the inputs used in determining the reported fair values. FASB ASC Topic 820, Fair Value Measurements and Disclosures (“ASC 820”),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pStyle w:val="TextBody"/>
        <w:bidi w:val="0"/>
        <w:spacing w:before="120" w:after="283"/>
        <w:jc w:val="both"/>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Valuations based on quoted prices in active markets for identical assets or liabilities that the Company has the ability to access at the measurement date.</w:t>
      </w:r>
    </w:p>
    <w:p>
      <w:pPr>
        <w:pStyle w:val="TextBody"/>
        <w:bidi w:val="0"/>
        <w:spacing w:before="120" w:after="283"/>
        <w:jc w:val="both"/>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Valuations based on quoted prices for similar assets or liabilities in markets that are not active or for which all significant inputs are observable, either directly or indirectly.</w:t>
      </w:r>
    </w:p>
    <w:p>
      <w:pPr>
        <w:pStyle w:val="TextBody"/>
        <w:bidi w:val="0"/>
        <w:spacing w:before="120" w:after="283"/>
        <w:jc w:val="both"/>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Valuations that require inputs that reflect the Company’s own assumptions that are both significant to the fair value measurement and unobservable.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Items measured at fair value on a recurring basis as of June 30, 2026 include cash equivalents and marketable securities (Notes 3 and 4). The carrying amounts reflected in the accompanying consolidated balance sheets for prepaid expenses and other current assets, accounts payable and accrued expenses approximate their fair values due to their short-term nature.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Property and equipment are recorded at cost. Depreciation is calculated using the straight-line method over the following estimated useful lives of the assets:</w:t>
      </w:r>
    </w:p>
    <w:tbl>
      <w:tblPr>
        <w:tblW w:w="4003" w:type="dxa"/>
        <w:jc w:val="left"/>
        <w:tblInd w:w="0" w:type="dxa"/>
        <w:tblLayout w:type="fixed"/>
        <w:tblCellMar>
          <w:top w:w="28" w:type="dxa"/>
          <w:left w:w="28" w:type="dxa"/>
          <w:bottom w:w="28" w:type="dxa"/>
          <w:right w:w="28" w:type="dxa"/>
        </w:tblCellMar>
      </w:tblPr>
      <w:tblGrid>
        <w:gridCol w:w="2161"/>
        <w:gridCol w:w="146"/>
        <w:gridCol w:w="169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LIFE</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the lease</w:t>
              <w:br/>
              <w:t>term or useful life</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consist of costs incurred in performing research and development activities, including salaries and bonuses, overhead costs, contract services and other related costs. The value of goods and services received from contract research organizations and contract manufacturing organizations in the reporting period are estimated based on the level of services performed, and progress in the period in cases when the Company has not received an invoice from the supplier. In circumstances where amounts have been paid in excess of costs incurred, the Company records a prepaid expense.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are recorded in accordance with FASB ASC Topic 740, Income Taxes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Valuation allowances are provided if, based upon the weight of available evidence, it is more likely than not that some or all of the deferred tax assets will not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uncertain tax positions in accordance with the provisions of ASC 740. When uncertain tax positions exist, the Company recognizes the tax benefit to the extent that the position is more likely than not to be sustained on examination by the taxing authorities based on the technical merits of the position as well as consideration of the available facts and circumstances. The Company records interest and penalties related to uncertain tax positions, if applicable, as a component of income tax expense.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considers all highly liquid investments purchased with original final maturities of three months or less from the date of purchase to be cash equivalents. Cash and cash equivalents include cash held in banks and amounts held in interest-bearing money market funds, U.S. treasury securities, U.S. Government agency securities, and commercial paper.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investments are comprised of U.S. government agency securities, U.S. treasury securities, commercial paper and corporate debt securities. Investments are classified at the time of purchase, based on management’s intent, as held-to-maturity, available-for-sale, or trading. All of the Company’s marketable security investments are classified as available-for-sale securities and are reported at fair market value using quoted prices in active markets for similar securities. The cost of securities sold is determined on a specific identification basis, and realized gains and losses are included as a component of other income within the condensed consolidated statements of operations and comprehensive loss. Unrealized gains and losses are included within the condensed consolidated statements of comprehensive loss.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assesses its available-for-sale securities under the available-for-sale security impairment model in ASU 2016-13, </w:t>
      </w:r>
      <w:r>
        <w:rPr>
          <w:rFonts w:ascii="Times New Roman" w:hAnsi="Times New Roman"/>
          <w:i/>
          <w:color w:val="000000"/>
          <w:sz w:val="20"/>
        </w:rPr>
        <w:t>Financial Instruments-Credit Losses (Topic 326): Measurement of Credit Losses on Financial Statements</w:t>
      </w:r>
      <w:r>
        <w:rPr>
          <w:rFonts w:ascii="Times New Roman" w:hAnsi="Times New Roman"/>
          <w:color w:val="000000"/>
          <w:sz w:val="20"/>
        </w:rPr>
        <w:t xml:space="preserve"> as of each reporting date in order to determine if a portion of any decline in fair value below carrying value is the result of a credit loss for its available-for-sale securities. The Company records credit losses for its available-for-sale securities in the condensed consolidated statements of operations and comprehensive loss as credit loss expense, which is limited to the difference between the fair value and the amortized cost of the security. To date, the Company has not recorded any credit losses on its available-for-sale securities. Declines in fair value below carrying value attributable to non-credit related factors are recorded as accumulated other comprehensive loss, which is a separate component of stockholders’ equity.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classifies its available-for-sale securities that mature within one year from the balance sheet date as current assets on the condensed consolidated balance sheets. Available-for-sale securities that mature more than one year from the balance sheet date are classified as non-current assets on the condensed consolidated balance sheets.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the initial classification and measurement of its right-of-use assets and lease liabilities at the lease commencement date and thereafter if modified. The lease term includes any renewal options and termination options that the Company is reasonably assured to exercise. The present value of lease payments is determined by using the interest rate implicit in the lease, if that rate is readily determinable; otherwise, the Company uses its incremental borrowing rate. The incremental borrowing rate is determined by using the rate of interest that the Company would pay to borrow on a collateralized basis an amount equal to the lease payments for a similar term and in a similar economic environment.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Fixed lease expense for operating leases is recognized on a straight-line basis, unless the right-of-use assets have been impaired, over the reasonably assured lease term based on the total lease payments and is included in operating expenses in the statements of operations and comprehensive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evaluates pre-funded warrants under FASB ASC Topic 480, Distinguishing Liabilities from Equity and FASB ASC Topic 815, Derivatives and Hedging (“ASC 815”) to determine whether the warrants should be classified as liabilities or equity. Pre-funded warrants are classified as stockholders’ equity when they are (i) indexed to the Company’s own stock and (ii) meet all equity</w:t>
        <w:noBreakHyphen/>
        <w:t>classification conditions in ASC 815</w:t>
        <w:noBreakHyphen/>
        <w:t>40. Proceeds received upon issuance of pre-funded warrants are recorded to additional paid</w:t>
        <w:noBreakHyphen/>
        <w:t>in capital. Upon exercise, the Company records proceeds to common stock and additional paid</w:t>
        <w:noBreakHyphen/>
        <w:t>in capital. Because the exercise price is nominal, equity</w:t>
        <w:noBreakHyphen/>
        <w:t>classified pre</w:t>
        <w:noBreakHyphen/>
        <w:t>funded warrants are included in basic and diluted weighted</w:t>
        <w:noBreakHyphen/>
        <w:t>average shares outstanding beginning on the issuance date but are not reflected as legally outstanding shares until exercised.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Share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accounts for its revenue participation right purchase and sale agreement (the “Revenue Share Agreement”), dated May 26, 2026, with Annapurna Aggregator L.P., an affiliate of funds managed by Blackstone Life Sciences (“BXLS”), as a debt financing in accordance with FASB ASC Topic 470, Debt. Accordingly, the proceeds received are presented as a revenue share liability and are subsequently measured using the effective interest method over the estimated term of the arrangement.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Non-cash interest expense related to the Revenue Share Agreement is recognized as a component of interest expense in the condensed consolidated statements of operations. The carrying amount of the liability increases each period by the interest expense recognized and decreases when revenue share payments are remitted to BXLS.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liability related to the Revenue Share Agreement and the related interest expense are based on the amount and timing of funding received by the Company under the Revenue Share Agreement, as well as the Company’s current estimates of future royalty payments expected under the agreement. The estimated effective interest rate reflects management's assumptions regarding the amount and timing of future revenue share payments over the expected term of the arrangement, including estimates of regulatory approval timing, commercial launch timing, projected net product sales, market penetration, and other factors affecting future royalties.</w:t>
      </w:r>
    </w:p>
    <w:p>
      <w:pPr>
        <w:pStyle w:val="TextBody"/>
        <w:bidi w:val="0"/>
        <w:jc w:val="both"/>
        <w:rPr>
          <w:rFonts w:ascii="Times New Roman" w:hAnsi="Times New Roman"/>
          <w:color w:val="000000"/>
          <w:sz w:val="20"/>
        </w:rPr>
      </w:pPr>
      <w:r>
        <w:rPr>
          <w:rFonts w:ascii="Times New Roman" w:hAnsi="Times New Roman"/>
          <w:color w:val="000000"/>
          <w:sz w:val="20"/>
        </w:rPr>
        <w:t>These estimates require significant judgment and are reassessed at each reporting date. Changes in estimated future revenue share payments are accounted for prospectively through a recalculation of the effective interest rate and the related amortization of the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issues equity-based awards to employees, managers, executives, non-employees and service providers in the form of restricted common stock, restricted stock units, and stock options. The Company accounts for equity-based compensation awards in accordance with FASB ASC Topic 718, Compensation-Stock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Company’s common stock underlying its equity awards is based on the quoted market price of the Company’s common stock on the grant date. The Company estimates the fair value of its stock options using the Black-Scholes option pricing model, which uses as inputs the fair value of the Company’s common stock, and certain management estimates, including the expected stock price volatility, the expected term of the award, the risk-free rate, and expected dividends. Expected volatility is estimated using a combination of the Company’s historical stock price volatility and historical volatility data from a representative group of comparable publicly traded companies. The Company computes historical volatility using daily closing prices over a period that approximates the expected term of the equity-based awards.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lack of historical exercise data. The expected dividend yield is assumed to be zero as the Company has no current plans to pay any dividends on common stock. The fair value of the restricted stock units are based on the Company’s stock price on the date of the grant.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generally issues equity awards that are subject to either service-based vesting conditions and in limited instances, service-based and performance-based vesting conditions. Compensation expense for awards issued to grantees with service-based vesting conditions are recognized on a straight-line basis based on the grant date fair value over the associated requisite service period of the award, which is generally the vesting term. Compensation expense for awards to grantees with service-based and performance-based vesting conditions are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evaluates whether an equity award should be classified and accounted for as a liability award or equity award for all equity-based compensation awards granted. As of June 30, 2026, all of the Company’s equity-based awards were equity classified. Forfeitures are recognized as they occur. The Company classifies equity-based compensation expense in the accompanying consolidated statements of operations and comprehensive loss in the same manner in which the award recipient’s salary and related costs are classified or in which the award recipient’s service payments are classified, as applicable.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Concentrations of Credit Risk and Significant Suppliers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expose the Company to credit risk primarily consist of cash, cash equivalents and marketable securities. The Company’s investment portfolio is comprised of money market funds, debt securities issued by U.S. government and corporate debt securities. The Company maintains its deposits with accredited financial institutions and, consequently, the Company does not believe it is subject to unusual credit risk beyond the normal credit risk associated with commercial banking relationships. Bank accounts in the United States are insured by the Federal Deposit Insurance Corporation (“FDIC”) up to $250,000. As of June 30, 2026 and December 31, 2025, predominantly all of the Company’s primary operating accounts significantly exceeded the FDIC limits.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dependent on third-party organizations to research, develop, manufacture and process its product candidates for its development programs. In particular, the Company currently relies on a limited number of third-party manufacturers for preclinical, clinical, and future commercial manufacturing activities.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Company had no off-balance sheet risks such as foreign exchange contracts, option contracts or other foreign hedging arrangements.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includes net loss as well as other changes in stockholders’ equity that result from transactions and events other than those with stockholders. The Company’s unrealized gains and losses on marketable securities represent the only component of other comprehensive loss that are excluded from the reported net loss and that are presented in the condensed consolidated statements of comprehensive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two classes of common stock outstanding comprised of voting and non-voting shares. The rights of the holders of voting and non-voting shares are identical, except with respect to voting and conversion. Each share of non-voting stock may be converted into one share of voting stock at any time at the option of the stockholder, subject to certain beneficial ownership limitations. Net loss per share for each class of common stock issued is the same as they are entitled to the same liquidation and dividend rights.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calculates basic net loss per common share by dividing net loss by the weighted-average number of common shares outstanding for the period, which includes pre-funded warrants to purchase common stock. The Company has generated a net loss in the periods presented so the basic and diluted net loss per share are the same as the inclusion of the potentially dilutive securities would be anti-dilutive.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w:t>
        <w:noBreakHyphen/>
        <w:t>03, Disaggregation of Income Statement Expenses</w:t>
      </w:r>
      <w:r>
        <w:rPr>
          <w:rFonts w:ascii="Times New Roman" w:hAnsi="Times New Roman"/>
          <w:color w:val="000000"/>
          <w:sz w:val="20"/>
        </w:rPr>
        <w:t>, which requires additional disclosures related to specified income statement expense categories on an annual and interim basis. The guidance is effective for annual periods beginning after December 15, 2026, and interim periods beginning after December 15, 2027, with early adoption permitted. The guidance may be applied prospectively or retrospectively. The Company is currently evaluating the impact of this guidance on its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ASC Update No. 2025-07, </w:t>
      </w:r>
      <w:r>
        <w:rPr>
          <w:rFonts w:ascii="Times New Roman" w:hAnsi="Times New Roman"/>
          <w:i/>
          <w:color w:val="000000"/>
          <w:sz w:val="20"/>
        </w:rPr>
        <w:t>Derivatives and Hedging and Revenue from Contracts with Customers,</w:t>
      </w:r>
      <w:r>
        <w:rPr>
          <w:rFonts w:ascii="Times New Roman" w:hAnsi="Times New Roman"/>
          <w:color w:val="000000"/>
          <w:sz w:val="20"/>
        </w:rPr>
        <w:t xml:space="preserve"> which reduces cost, complexity and diversity in evaluating whether contracts with features based on the operations or activities specific to one of the parties to the contract meet the definition of a derivative (“ASU Update No. 2025-07”). The updated guidance is effective for fiscal years beginning after December 15, 2026, with early adoption permitted. The Company elected to early adopt ASU Update No. 2025-07 on a prospective basis effective April 1, 2026. The adoption did not have a material impact on the Company's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the FASB issued ASU No. 2025-11, Interim Reporting (Topic 270): Narrow-Scope Improvements, which clarifies the scope of existing interim reporting requirements, consolidates interim disclosure requirements into a single comprehensive list within Topic 270, and introduces a new disclosure principle requiring entities to disclose material events or changes that have occurred since the end of the most recent annual reporting period. The guidance is effective for interim reporting periods within annual periods beginning after December 15, 2027, with early adoption permitted. The guidance may be applied prospectively or retrospectively. The Company has not yet adopted ASU 2025-11 and is currently evaluating the impact of this guidance on its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The following is a summary of the Company’s investing portfolio (in thousands): </w:t>
      </w:r>
    </w:p>
    <w:tbl>
      <w:tblPr>
        <w:tblW w:w="9666" w:type="dxa"/>
        <w:jc w:val="left"/>
        <w:tblInd w:w="0" w:type="dxa"/>
        <w:tblLayout w:type="fixed"/>
        <w:tblCellMar>
          <w:top w:w="28" w:type="dxa"/>
          <w:left w:w="28" w:type="dxa"/>
          <w:bottom w:w="28" w:type="dxa"/>
          <w:right w:w="28" w:type="dxa"/>
        </w:tblCellMar>
      </w:tblPr>
      <w:tblGrid>
        <w:gridCol w:w="4476"/>
        <w:gridCol w:w="146"/>
        <w:gridCol w:w="211"/>
        <w:gridCol w:w="931"/>
        <w:gridCol w:w="146"/>
        <w:gridCol w:w="146"/>
        <w:gridCol w:w="239"/>
        <w:gridCol w:w="392"/>
        <w:gridCol w:w="146"/>
        <w:gridCol w:w="146"/>
        <w:gridCol w:w="211"/>
        <w:gridCol w:w="631"/>
        <w:gridCol w:w="166"/>
        <w:gridCol w:w="146"/>
        <w:gridCol w:w="211"/>
        <w:gridCol w:w="931"/>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 issued by 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between one and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 issued by 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 between one and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1,188,298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4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tbl>
      <w:tblPr>
        <w:tblW w:w="9529" w:type="dxa"/>
        <w:jc w:val="left"/>
        <w:tblInd w:w="0" w:type="dxa"/>
        <w:tblLayout w:type="fixed"/>
        <w:tblCellMar>
          <w:top w:w="28" w:type="dxa"/>
          <w:left w:w="28" w:type="dxa"/>
          <w:bottom w:w="28" w:type="dxa"/>
          <w:right w:w="28" w:type="dxa"/>
        </w:tblCellMar>
      </w:tblPr>
      <w:tblGrid>
        <w:gridCol w:w="4476"/>
        <w:gridCol w:w="146"/>
        <w:gridCol w:w="211"/>
        <w:gridCol w:w="781"/>
        <w:gridCol w:w="146"/>
        <w:gridCol w:w="146"/>
        <w:gridCol w:w="211"/>
        <w:gridCol w:w="571"/>
        <w:gridCol w:w="146"/>
        <w:gridCol w:w="146"/>
        <w:gridCol w:w="259"/>
        <w:gridCol w:w="462"/>
        <w:gridCol w:w="166"/>
        <w:gridCol w:w="146"/>
        <w:gridCol w:w="239"/>
        <w:gridCol w:w="886"/>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 issued by 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between one and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 issued by 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 between one and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 had 326 securities with a total fair market value of $1.0 billion in an unrealized loss position. The Company does not intend to sell its investments before recovery of the amortized cost basis of its debt securities at maturity and no allowance for credit losses was recorded as of June 30, 2026 and December 31, 2025. Securities are evaluated at the end of each reporting period. The Company did not record any impairment related to its marketable securities during the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measured at fair value on a recurring basis and indicates the level of fair value hierarchy utilized to determine such values (in thousands):</w:t>
      </w:r>
    </w:p>
    <w:tbl>
      <w:tblPr>
        <w:tblW w:w="10205" w:type="dxa"/>
        <w:jc w:val="left"/>
        <w:tblInd w:w="0" w:type="dxa"/>
        <w:tblLayout w:type="fixed"/>
        <w:tblCellMar>
          <w:top w:w="28" w:type="dxa"/>
          <w:left w:w="28" w:type="dxa"/>
          <w:bottom w:w="28" w:type="dxa"/>
          <w:right w:w="28" w:type="dxa"/>
        </w:tblCellMar>
      </w:tblPr>
      <w:tblGrid>
        <w:gridCol w:w="3718"/>
        <w:gridCol w:w="146"/>
        <w:gridCol w:w="211"/>
        <w:gridCol w:w="781"/>
        <w:gridCol w:w="346"/>
        <w:gridCol w:w="346"/>
        <w:gridCol w:w="211"/>
        <w:gridCol w:w="781"/>
        <w:gridCol w:w="346"/>
        <w:gridCol w:w="346"/>
        <w:gridCol w:w="282"/>
        <w:gridCol w:w="465"/>
        <w:gridCol w:w="346"/>
        <w:gridCol w:w="346"/>
        <w:gridCol w:w="211"/>
        <w:gridCol w:w="931"/>
        <w:gridCol w:w="392"/>
      </w:tblGrid>
      <w:tr>
        <w:trPr/>
        <w:tc>
          <w:tcPr>
            <w:tcW w:w="3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635,850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 issued by 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731,748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552,448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1,284,196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40"/>
        <w:jc w:val="both"/>
        <w:rPr/>
      </w:pPr>
      <w:r>
        <w:rPr/>
        <w:t> </w:t>
      </w:r>
    </w:p>
    <w:tbl>
      <w:tblPr>
        <w:tblW w:w="10205" w:type="dxa"/>
        <w:jc w:val="left"/>
        <w:tblInd w:w="0" w:type="dxa"/>
        <w:tblLayout w:type="fixed"/>
        <w:tblCellMar>
          <w:top w:w="28" w:type="dxa"/>
          <w:left w:w="28" w:type="dxa"/>
          <w:bottom w:w="28" w:type="dxa"/>
          <w:right w:w="28" w:type="dxa"/>
        </w:tblCellMar>
      </w:tblPr>
      <w:tblGrid>
        <w:gridCol w:w="3861"/>
        <w:gridCol w:w="146"/>
        <w:gridCol w:w="211"/>
        <w:gridCol w:w="781"/>
        <w:gridCol w:w="346"/>
        <w:gridCol w:w="346"/>
        <w:gridCol w:w="211"/>
        <w:gridCol w:w="781"/>
        <w:gridCol w:w="346"/>
        <w:gridCol w:w="346"/>
        <w:gridCol w:w="284"/>
        <w:gridCol w:w="469"/>
        <w:gridCol w:w="346"/>
        <w:gridCol w:w="346"/>
        <w:gridCol w:w="211"/>
        <w:gridCol w:w="781"/>
        <w:gridCol w:w="393"/>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350,157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350,157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 issued by 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208,944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208,944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442,729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890,373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5.</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Prepaids and Other Assets</w:t>
      </w:r>
    </w:p>
    <w:p>
      <w:pPr>
        <w:pStyle w:val="TextBody"/>
        <w:bidi w:val="0"/>
        <w:spacing w:before="240" w:after="200"/>
        <w:jc w:val="both"/>
        <w:rPr>
          <w:rFonts w:ascii="Times New Roman" w:hAnsi="Times New Roman"/>
          <w:color w:val="231F20"/>
          <w:sz w:val="20"/>
        </w:rPr>
      </w:pPr>
      <w:r>
        <w:rPr>
          <w:rFonts w:ascii="Times New Roman" w:hAnsi="Times New Roman"/>
          <w:color w:val="231F20"/>
          <w:sz w:val="20"/>
        </w:rPr>
        <w:t>Prepaid expenses and other current assets consisted of the following (in thousands):</w:t>
      </w:r>
    </w:p>
    <w:tbl>
      <w:tblPr>
        <w:tblW w:w="4987" w:type="dxa"/>
        <w:jc w:val="left"/>
        <w:tblInd w:w="0" w:type="dxa"/>
        <w:tblLayout w:type="fixed"/>
        <w:tblCellMar>
          <w:top w:w="28" w:type="dxa"/>
          <w:left w:w="28" w:type="dxa"/>
          <w:bottom w:w="28" w:type="dxa"/>
          <w:right w:w="28" w:type="dxa"/>
        </w:tblCellMar>
      </w:tblPr>
      <w:tblGrid>
        <w:gridCol w:w="1966"/>
        <w:gridCol w:w="146"/>
        <w:gridCol w:w="211"/>
        <w:gridCol w:w="676"/>
        <w:gridCol w:w="146"/>
        <w:gridCol w:w="146"/>
        <w:gridCol w:w="310"/>
        <w:gridCol w:w="995"/>
        <w:gridCol w:w="3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 had $10.4 million and $8.5 million, respectively, in long-term prepayments, made in conjunction with the Company’s research and development activities, classified within other non-current assets.</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6.</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Property and Equipment, net</w:t>
      </w:r>
    </w:p>
    <w:p>
      <w:pPr>
        <w:pStyle w:val="TextBody"/>
        <w:bidi w:val="0"/>
        <w:spacing w:before="240" w:after="200"/>
        <w:jc w:val="both"/>
        <w:rPr>
          <w:rFonts w:ascii="Times New Roman" w:hAnsi="Times New Roman"/>
          <w:color w:val="231F20"/>
          <w:sz w:val="20"/>
        </w:rPr>
      </w:pPr>
      <w:r>
        <w:rPr>
          <w:rFonts w:ascii="Times New Roman" w:hAnsi="Times New Roman"/>
          <w:color w:val="231F20"/>
          <w:sz w:val="20"/>
        </w:rPr>
        <w:t>Property and Equipment, net consisted of the following (in thousands):</w:t>
      </w:r>
    </w:p>
    <w:tbl>
      <w:tblPr>
        <w:tblW w:w="5747" w:type="dxa"/>
        <w:jc w:val="left"/>
        <w:tblInd w:w="0" w:type="dxa"/>
        <w:tblLayout w:type="fixed"/>
        <w:tblCellMar>
          <w:top w:w="28" w:type="dxa"/>
          <w:left w:w="28" w:type="dxa"/>
          <w:bottom w:w="28" w:type="dxa"/>
          <w:right w:w="28" w:type="dxa"/>
        </w:tblCellMar>
      </w:tblPr>
      <w:tblGrid>
        <w:gridCol w:w="2731"/>
        <w:gridCol w:w="146"/>
        <w:gridCol w:w="211"/>
        <w:gridCol w:w="631"/>
        <w:gridCol w:w="166"/>
        <w:gridCol w:w="146"/>
        <w:gridCol w:w="326"/>
        <w:gridCol w:w="979"/>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recognized $0.4 million and $0.8 million of depreciation expense for the three and six months ended June 30, 2026, respectively, and $0.4 million and $0.6 million of depreciation expense for the three and six months ended June 30, 2025, respectively.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7.</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Accrued Expenses</w:t>
      </w:r>
    </w:p>
    <w:p>
      <w:pPr>
        <w:pStyle w:val="TextBody"/>
        <w:bidi w:val="0"/>
        <w:spacing w:before="240" w:after="200"/>
        <w:jc w:val="both"/>
        <w:rPr>
          <w:rFonts w:ascii="Times New Roman" w:hAnsi="Times New Roman"/>
          <w:color w:val="231F20"/>
          <w:sz w:val="20"/>
        </w:rPr>
      </w:pPr>
      <w:r>
        <w:rPr>
          <w:rFonts w:ascii="Times New Roman" w:hAnsi="Times New Roman"/>
          <w:color w:val="231F20"/>
          <w:sz w:val="20"/>
        </w:rPr>
        <w:t>Accrued expenses consisted of the following (in thousands):</w:t>
      </w:r>
    </w:p>
    <w:tbl>
      <w:tblPr>
        <w:tblW w:w="7262" w:type="dxa"/>
        <w:jc w:val="left"/>
        <w:tblInd w:w="0" w:type="dxa"/>
        <w:tblLayout w:type="fixed"/>
        <w:tblCellMar>
          <w:top w:w="28" w:type="dxa"/>
          <w:left w:w="28" w:type="dxa"/>
          <w:bottom w:w="28" w:type="dxa"/>
          <w:right w:w="28" w:type="dxa"/>
        </w:tblCellMar>
      </w:tblPr>
      <w:tblGrid>
        <w:gridCol w:w="4441"/>
        <w:gridCol w:w="146"/>
        <w:gridCol w:w="211"/>
        <w:gridCol w:w="676"/>
        <w:gridCol w:w="146"/>
        <w:gridCol w:w="146"/>
        <w:gridCol w:w="310"/>
        <w:gridCol w:w="995"/>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Other Significant Agreements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Paragon Option and 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and six months ended June 30, 2026, the Company recognized $0.2 million and $0.9 million, respectively, of research and development expense in connection with services provided by Paragon Therapeutics, Inc. (“Paragon”) under the Option Agreements and License Agreements (each as defined below). For the three and six months ended June 30, 2025, the Company recognized $0.1 million of research and development expense in connection with services provided by Paragon under the Option and License Agreements.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2022, the Company entered into an antibody discovery and option agreement with Paragon, which was subsequently amended in November 2022 (as amended, the “2022 Option Agreement”). Under the terms of the 2022 Option Agreement, Paragon identifies, evaluates and develops antibodies directed against certain mutually agreed therapeutic targets of interest to the Company. The 2022 Option Agreement initially included two selected targets, IL-13 and IL-4Rα, and was subsequently amended in November 2022 to include an additional selected target, OX40L. Under the 2022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From time to time, the Company can choose to add additional targets to the collaboration by mutual agreement with Paragon.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of the 2022 Option Agreement, the parties initiated certain research programs that generally focused on a particular target (each, a “Research Program”). Each Research Program is aimed at discovering, generating, identifying and/or characterizing antibodies directed to the respective target. For each Research Program, the parties established a research plan that sets forth the activities that will be conducted, and the associated research budget (each, a “Research Plan”). Upon execution of the 2022 Option Agreement, the Company agreed with Paragon on an initial Research Plan that outlined the services that will be performed commencing at inception of the arrangement related to IL-13 and IL-4Rα. The Research Plan for OX40L was agreed to prior to December 31, 2022. The Company’s exclusive option with respect to any future Research Program is exercisable at the Company's sole discretion at any time during the period beginning on the initiation of activities under the associated Research Program and ending a specified number of days following the delivery of the data package from Paragon related to the results of the Research Plan activities (the “Option Period”). There is no payment due upon exercise of an Option pursuant to the 2022 Option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consideration for the exclusive options granted under the 2022 Option Agreement, the Company paid an upfront cash amount of $1.3 million and issued 1,250,000 common units to Paragon. Paragon was also entitled to up to an additional 3,750,000 of common units in exchange for the rights granted under the 2022 Option Agreement, which were issued in connection with the closings of the additional tranches of the Series A preferred unit financing. Under the 2022 Option Agreement, on a Research Program-by-Research Program basis following the finalization of the Research Plan for each respective Research Program, the Company is required to pay Paragon a nonrefundable fee in cash of $0.5 million. The Company is also obligated to compensate Paragon on a quarterly basis for its services performed under each Research Program based on the actual costs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the Company entered into an additional antibody discovery and option agreement with Paragon (the “2023 Option Agreement”). Under the terms of the 2023 Option Agreement, Paragon identifies, evaluates and develops antibodies directed against certain mutually agreed therapeutic targets of interest to the Company. The 2023 Option Agreement initially includes one target, TSLP. Under the 2023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From time to time, the Company can choose to add additional targets to the collaboration by mutual agreement with Paragon.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terms of the 2023 Option Agreement, the parties may initiate Research Programs. Each Research Program will be aimed at discovering, generating, identifying and/or characterizing antibodies directed to the respective target. For each Research Program, the parties must establish a Research Plan. In January 2024, the Company and Paragon agreed on an initial Research Plan that outlined the services that will be performed commencing at inception of the arrangement related to TSLP. The Company's exclusive option with respect to each Research Program is exercisable at the Company’s sole discretion at any time during the period beginning on the initiation of activities under the associated Research Program and ending a specified number of days following the delivery of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data package from Paragon related to the results of the Research Plan activities. There is no payment due upon exercise of an Option pursuant to the 2023 Option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2023 Option Agreement, on a Research Program-by-Research Program basis following the finalization of the Research Plan for each respective Research Program, the Company is required to pay Paragon a nonrefundable fee in cash of $2.0 million. The Company is also obligated to compensate Paragon on a quarterly basis for its services performed under each Research Program based on the actual costs incurred. The Company expenses the service fees as the associated costs are incurred when the underlying services are rendered. In January 2024, the Company finalized the Research Plan with Paragon related to the TSLP target. As such, the Company made a one-time non-refundable payment of $2.0 million to Paragon in the first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2026, the Company entered into an additional antibody discovery agreement with Paragon (“the “2026 Option Agreement”) and together with the 2022 Option Agreement and 2023 Option Agreement, collectively, the “Option Agreements”. Under the terms of the 2026 Option Agreement, Paragon generates and characterizes monospecific antibody candidates directed to interleukin 31 receptor (IL-31R). The associated activities may be supplemented or amended from time to time upon the mutual written agreement of the parties, which could include optional CMC activities. Under the 2026 Option Agreement, the Company compensates Paragon for the activities that it performs, including reimbursement of qualifying amounts Paragon paid to unaffiliated contract research organizations, and a monthly research fee, subject to adjustment as provided in the 2026 Option Agreement. If Paragon agrees to perform CMC Activities, then the Company will owe Paragon additional associated fees ranging from $1.3 million to $2.0 million, depending on the scope and type of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terminated earlier, the 2022 Option Agreement and the 2023 Option Agreement shall continue in force on a Research Program-by-Research Program basis until the earlier of: (i) the end of the Option Period for such Research Program, as applicable, if such Option is not exercised by the Company; and (ii) the effective date of the license agreement for such Research Program if the Company exercises its Option with respect to such Research Program, while the 2026 Option Agreement continued in force until completion of the Research Program thereunder which Research Program was completed as of the entry into the 2026 Option Agreement (the “Term”). Upon the expiration of the Term for all then-existing Research Programs, the applicable Option Agreement, will automatically expire in its entirety. The Company may terminate each Option Agreement or any Research Program at any time for any or no reason upon 30 days’ prior written notice to Paragon, provided that the Company must pay certain unpaid fees due to Paragon upon such termination, as well as any non-cancelable obligations reasonably incurred by Paragon in connection with its activities under any terminated Research Program. Each party has the right to terminate either Option Agreement or any Research Program upon (i) 30 days’ prior written notice of the other party’s material breach that remains uncured for the 30-day period and (ii) the other party’s bankruptcy.</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2022, the Company exercised its option available under the 2022 Option Agreement with respect to the IL-13 Research Program. Upon such exercise, the parties entered into an associated license agreement (the “IL-13 License Agreement”). In April 2023, the Company exercised its option available under the 2022 Option Agreement with respect to the IL- 4Rα Research Program and the OX40L Research Program. Upon such exercise, the parties entered into associated license agreements (the “IL-4Rα License Agreement” and the “OX40L License Agreement,” respectively). In August 2024, the Company exercised its option available under the 2023 Option Agreement with respect to the TSLP Research Program and entered into the associated license agreement (the “TSLP License Agreement” and collectively with the IL-13 License Agreement, the IL-4Rα License Agreement and the OX40L License Agreement, the “License Agreements”). In June 2026, contemporaneously with the execution of the 2026 Discovery Agreement, the Company entered into a license agreement with Paragon with respect to the IL-31R target (the “IL-31R License Agreement” and collectively with the IL-13 License Agreement, the IL-4Rα License Agreement, the OX40L License Agreement and the TSLP License agreement, the “License Agreements”). Under the terms of the License Agreements, Paragon granted to the Company an exclusive, worldwide, royalty-bearing, sublicensable right and license with respect to certain information, patent rights and sequence information related to antibodies directed at the respective target to use, make, sell, import, export and otherwise exploit the antibodies directed at the respective target. Pursuant to the License Agreements, the Company granted to Paragon a similar license (except that such license the Company granted to Paragon is non-exclusive) to the respective licenses with respect to multispecific antibodies that are directed at the respective targets and one or more other antibodies. The Company was also granted a right of first negotiation with Paragon concerning the development, license and grant of rights to certain multispecific antibodies associated with each respective license. The Company is solely responsible for the continued development, manufacture and commercialization of products at its own cost and expense for each licensed target.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IL-13 License Agreement, the IL-4Rα License Agreement and the OX40L License Agreement, the Company is obligated to pay Paragon up to $3.0 million upon the achievement of specific development and clinical milestones for the first product under each of the License Agreements that achieves such specified milestones, including a payment of $1.0 million upon the nomination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a development candidate and $2.0 million upon the first dosing of a human patient in a Phase 1 trial. Under the TSLP License Agreement, the Company is obligated to pay Paragon up to $28.0 million upon the achievement of specific development and clinical milestones for the first product, including a payment of $3.0 million upon the nomination of a development candidate and $5.0 million upon the first dosing of a human patient in a Phase 1 trial. Under the IL-31R License Agreement, the Company is obligated to pay Paragon up to $23.25 million upon the achievement of specific development, clinical and regulatory milestones for the first product that achieves such specified milestones, including a payment of $5.25 million upon the first dosing of a human patient in a Phase I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IL</w:t>
        <w:noBreakHyphen/>
        <w:t>13 License Agreement, the Company paid Paragon a $1.0 million fee for the nomination of a development candidate. In August 2023, the Company announced the dosing of its first participant in the Phase 1 trial of zumilokibart and made a milestone payment of $2.0 million in the fourth quarter of 2023. In November 2023, the Company finalized the nomination of a development candidate under the IL</w:t>
        <w:noBreakHyphen/>
        <w:t>4Rα License Agreement and made a milestone payment of $1.0 million to Paragon in the fourth quarter of 2023. In March 2024, the Company announced the dosing of its first participant in a Phase 1 trial of APG808 and made a milestone payment of $2.0 million to Paragon in the first quarter of 2024. In May 2024, the Company finalized the nomination of a development candidate under the OX40L License Agreement and made a milestone payment of $1.0 million to Paragon in the second quarter of 2024. In August 2024, the Company announced the dosing of its first participant in the Phase 1 trial of APG990 and made a milestone payment of $2.0 million to Paragon in the third quarter of 2024. In October 2024, the Company finalized the nomination of a development candidate under the TSLP License Agreement and made a milestone payment of $3.0 million to Paragon in the fourth quarter of 2024. In December 2024, the Company announced the dosing of its first participant in the Phase 1 trial of APG333 and made a milestone payment of $5.0 million in the fourth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also obligated to pay royalties to Paragon equal to a low-single digit percentage of net sales of any products under each of the respective License Agreements and Paragon has a similar obligation to pay royalties to the Company with respect to each of the multispecific licenses.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(the “Royalty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the License Agreements remain in effect until the expiration of the last-to-expire Royalty Term for any and all products associated with the respective license. The Company may terminate the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 License Agreement, all licenses and rights granted pursuant to such License Agreement will automatically terminate and revert to the granting party and all other rights and obligations of the parties will terminate.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Biologics Master Services Agreement — WuXi Biologics (Hong Kong)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2022, Paragon and WuXi Biologics (Hong Kong) Limited (“WuXi Biologics”) entered into a biologics master services agreement (the “WuXi Biologics MSA”), which was subsequently novated to the Company by Paragon in the second quarter of 2023. The WuXi Biologics MSA governs all development activities and GMP manufacturing and testing for zumilokibart, APG990, APG333 and APG808, as well as potential future product candidates, on a work order basis. Under the WuXi Biologics MSA, the Company is obligated to pay WuXi Biologics a service fee and all non-cancelable obligations in the amount specified in each work order associated with the agreement for the provision of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WuXi Biologics MSA terminates on the later of (i) June 20, 2027 or (ii) the completion of services under all work orders executed by the parties prior to June 20, 2027, unless terminated earlier. The term of each work order terminates upon completion of the services under such work order, unless terminated earlier. The Company can terminate the WuXi Biologics MSA or any work order at any time upon 30 days’ prior written notice and immediately upon written notice if WuXi Biologics fails to obtain or maintain required material governmental licenses or approvals. Either party may terminate a work order (i) at any time upon six months’ prior notice with reasonable cause, provided however that if WuXi Biologics terminates a work order in such manner, no termination or cancellation fees shall be paid by the Company and (ii) immediately for cause upon (a) the other party’s material breach that remains uncured for 30 days after notice of such breach, (b) the other party’s bankruptcy or (c) a force majeure event that prevents performance for a period of at least 90 days.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the Company recognized $3.7 million and $8.9 million, respectively, of research and development expense in connection with the WuXi Biologics MSA. For the three and six months ended June 30, 2025, the Company recognized $3.3 million and $4.5 million, respectively, of research and development expense in connection with the WuXi Biologics MSA.</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Cell Line License Agreement — WuXi Biologics (Hong Kong)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2022, Paragon and WuXi Biologics entered into a cell line license agreement (the “Cell Line License Agreement”), which was subsequently novated to the Company by Paragon in the second quarter of 2023.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to manufacture zumilokibart, APG990, APG333 and APG808.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consideration for the license, the Company has paid WuXi Biologics a non-refundable license fee of $150,000. Additionally, if the Company manufactures all of its commercial supplies of bulk drug product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Cell Line License Agreement will continue indefinitely unless terminated (i) by the Company upon six months’ prior written notice and the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Master Services Agreement and Project Specific Agreements — Samsung Biologics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2025, the Company entered into a Master Services Agreement (the “Samsung Biologics MSA”), made effective as of February 28, 2025, with Samsung Biologics Co., Ltd. (“Samsung Biologics”), pursuant to which Samsung Biologics will manufacture and supply the Company with zumilokibart drug substance (the “Samsung Biologics Product”) for clinical development and commercial sale, if approved. The Company is obligated to pay Samsung Biologics service fees for each manufactured batch, as well as the costs of materials purchased by Samsung Biologics and expenses including testing and storage, which such costs and fees will be specified in Project Specific Agreements (each a “PSA”).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in March 2025, the Company entered into a PSA (the “Initial PSA”) with Samsung Biologics, made effective as of February 28, 2025, pursuant to which Samsung Biologics will produce clinical batches of the Samsung Biologics Product at its facility in Incheon, South Korea, perform process characterization and validation, and manufacture process performance qualification lots of the Samsung Biologics Product. Under the Initial PSA, the Company must purchase certain minimum quantities of the Samsung Biologics Product and has agreed to pay Samsung Biologics as determined pursuant to the terms of the Initial PSA.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Samsung Biologics MSA will terminate in February 2035, or, if a PSA is still in effect, when such PSA terminates, and may be extended upon mutual agreement of the parties. The Initial PSA will terminate in December 2034. Either the Company or Samsung Biologics may terminate the Samsung Biologics MSA or the Initial PSA in the event of an uncured material breach by, insolvency of or inability to perform due to a force majeure event by the other party. In the event all applicable PSAs have been terminated, Samsung Biologics has agreed to provide assistance with certain technology transfer matters, subject to exceptions. If the Company terminates the Samsung Biologics MSA or Initial PSA without cause, the Company will generally be responsible for paying the purchase price for the Company’s aggregate product commitment for the remainder of the term, less any amounts the Company has already paid.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2026, the Company entered into a separate PSA with Samsung that would provide for the commercial manufacture of zumilokibart drug substance should the program eventually receive regulatory approval. If specific circumstances render Apogee unable to proceed with commercial distribution, the PSA provides for Samsung to receive compensation, including for contractually obligated expenses, and an exit fee in the high single-digit millions.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the Company recognized $0.5 million and $0.9 million, respectively, of research and development expense in connection with the Samsung Biologics MSA. For the three and six months ended June 30, 2025, the Company recognized $5.7 million and $7.4 million, respectively, of research and development expense in connection with the Samsung Biologics MSA.</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Currently, all of the Company’s preclinical, clinical and commercial drug manufacturing, storage, distribution or quality testing are outsourced to third-party manufacturers. As development programs progress and new process efficiencies are built, the Company expects to continually evaluate this strategy with the objective of satisfying demand for registration trials and, if approved, the manufacture, sale and distribution of commercial products. Under such agreements, the Company is contractually obligated to make certain payments to vendors upon early termination, including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enters into standard indemnification agreements and/or indemnification sections in other agreements in the ordinary course of business. Pursuant to the agreements, the Company indemnifies, holds harmless, and agrees to reimburse the indemnified party for losses suffered or incurred by the indemnified party, generally the Company’s business partners. The term of these indemnification agreements is generally perpetual any time after execution of the agreement. There is no limit to the maximum potential amount of future payments the Company could be required to make under these indemnification agreements. As of June 30, 2026, the Company has not incurred costs to defend lawsuits or settle claims related to these indemnification agreements. The Company was not aware of any claims under these indemnification arrangements as of June 30, 2026 and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currently party to any material legal proceedings. At each reporting date, the Company evaluates whether or not a potential loss amount or a potential range of loss is probable and reasonably estimable under the provisions of FASB ASC Topic 450, Contingencies (“ASC 450”). The Company expenses as incurred the costs related to its legal proceedings.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Share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2026, the Company entered into the Revenue Share Agreement with BXLS. Pursuant to the Revenue Share Agreement, in exchange for an upfront payment of $100.0 million (the “Tranche 1 Funding”), BXLS purchased from the Company the right to receive tiered revenue share payments (“Revenue Share Payments”) with respect to annual worldwide net product sales (“Net Sales”) of zumilokibart. In addition, under the Revenue Share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pPr>
      <w:r>
        <w:rPr>
          <w:rFonts w:ascii="Times New Roman" w:hAnsi="Times New Roman"/>
          <w:color w:val="000000"/>
          <w:sz w:val="20"/>
        </w:rPr>
        <w:t>BXLS will purchase additional Revenue Share Payments from the Company in exchange for a payment of $100.0</w:t>
      </w:r>
      <w:r>
        <w:rPr>
          <w:color w:val="000000"/>
        </w:rPr>
        <w:t xml:space="preserve"> </w:t>
      </w:r>
      <w:r>
        <w:rPr>
          <w:rFonts w:ascii="Times New Roman" w:hAnsi="Times New Roman"/>
          <w:color w:val="000000"/>
          <w:sz w:val="20"/>
        </w:rPr>
        <w:t xml:space="preserve">million (the “Tranche 2 Funding”), upon the occurrence of full enrollment of patients in both of the Company’s planned registrational monotherapy Phase 3 clinical trials of zumilokibart in patients with AD, coded by the Company as APG777-301 and APG777-302 (the “Zumilokibart Phase 3 Clinical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pPr>
      <w:r>
        <w:rPr>
          <w:rFonts w:ascii="Times New Roman" w:hAnsi="Times New Roman"/>
          <w:color w:val="000000"/>
          <w:sz w:val="20"/>
        </w:rPr>
        <w:t>BXLS will purchase additional Revenue Share Payments from the Company in exchange for a payment of $200.0</w:t>
      </w:r>
      <w:r>
        <w:rPr>
          <w:color w:val="000000"/>
        </w:rPr>
        <w:t xml:space="preserve"> </w:t>
      </w:r>
      <w:r>
        <w:rPr>
          <w:rFonts w:ascii="Times New Roman" w:hAnsi="Times New Roman"/>
          <w:color w:val="000000"/>
          <w:sz w:val="20"/>
        </w:rPr>
        <w:t xml:space="preserve">million (the “Tranche 3 Funding”), upon the occurrence of positive data readouts from the Zumilokibart Phase 3 Clinical Trials meeting the success criteria set forth in the Revenue Share Agreement;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pPr>
      <w:r>
        <w:rPr>
          <w:rFonts w:ascii="Times New Roman" w:hAnsi="Times New Roman"/>
          <w:color w:val="000000"/>
          <w:sz w:val="20"/>
        </w:rPr>
        <w:t>BXLS will purchase additional Revenue Share Payments from the Company in exchange for a payment (the “Tranche 4 Funding”) of, at the Company’s election, between $250.0</w:t>
      </w:r>
      <w:r>
        <w:rPr>
          <w:color w:val="000000"/>
        </w:rPr>
        <w:t xml:space="preserve"> </w:t>
      </w:r>
      <w:r>
        <w:rPr>
          <w:rFonts w:ascii="Times New Roman" w:hAnsi="Times New Roman"/>
          <w:color w:val="000000"/>
          <w:sz w:val="20"/>
        </w:rPr>
        <w:t>million and up to $400.0</w:t>
      </w:r>
      <w:r>
        <w:rPr>
          <w:color w:val="000000"/>
        </w:rPr>
        <w:t xml:space="preserve"> </w:t>
      </w:r>
      <w:r>
        <w:rPr>
          <w:rFonts w:ascii="Times New Roman" w:hAnsi="Times New Roman"/>
          <w:color w:val="000000"/>
          <w:sz w:val="20"/>
        </w:rPr>
        <w:t xml:space="preserve">million (“Tranche 4 Maximum Purchase Price”), upon zumilokibart’s receipt of marketing approval from the U.S. Food and Drug Administration (the “FDA”) for the treatment of AD on or prior to December 31, 2030 (the “Tranche 4 Trigger”).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Share Payments are based on tiered percentage rates of aggregate annual Net Sales of zumilokibart (“Annual Aggregate Product Net Sales”). Under the Revenue Share Agreement, the revenue percentage payable to BXLS is the sum of (a) the base revenue percentage (the “Base Revenue Percentage”) and (b) the tranche 4 revenue percentage (the “Tranche 4 Revenue Percentage” and, together with the Base Revenue Percentage, the “Revenue Percentages”), which applies only from and after the Tranche 4 Funding.</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table below summarizes the Revenue Percentages payable to BXLS, based on the tiers of Annual Aggregate Product Net Sales. The Base Revenue Percentage shown reflects the rate applicable after receipt of the Tranche 1 Funding; this rate would double upon receipt of the Tranche 2 Funding, and double again upon receipt of the Tranche 3 Funding. The Tranche 4 Revenue Percentage is subject to proportional adjustment if the Tranche 4 Funding is less than the Tranche 4 Maximum Purchase Price: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tbl>
      <w:tblPr>
        <w:tblW w:w="10205" w:type="dxa"/>
        <w:jc w:val="left"/>
        <w:tblInd w:w="0" w:type="dxa"/>
        <w:tblLayout w:type="fixed"/>
        <w:tblCellMar>
          <w:top w:w="28" w:type="dxa"/>
          <w:left w:w="28" w:type="dxa"/>
          <w:bottom w:w="28" w:type="dxa"/>
          <w:right w:w="28" w:type="dxa"/>
        </w:tblCellMar>
      </w:tblPr>
      <w:tblGrid>
        <w:gridCol w:w="3917"/>
        <w:gridCol w:w="146"/>
        <w:gridCol w:w="1724"/>
        <w:gridCol w:w="146"/>
        <w:gridCol w:w="2040"/>
        <w:gridCol w:w="146"/>
        <w:gridCol w:w="2086"/>
      </w:tblGrid>
      <w:tr>
        <w:trPr/>
        <w:tc>
          <w:tcPr>
            <w:tcW w:w="3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3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Annual Aggregate Product 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Revenue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4 Revenue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Revenue Percentage</w:t>
            </w:r>
          </w:p>
        </w:tc>
      </w:tr>
      <w:tr>
        <w:trPr/>
        <w:tc>
          <w:tcPr>
            <w:tcW w:w="3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and including $5 billion (“Tier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3.4375%</w:t>
            </w:r>
          </w:p>
        </w:tc>
      </w:tr>
      <w:tr>
        <w:trPr/>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excess of $5 billion but less than or equal to $8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Tranche 4 Revenue Percentage is subject to a cap of $1.0 billion in aggregate Tranche 4-related Revenue Share Payments to BXLS, after which the Tranche 4 Revenue Percentage for Tier 1 decreases to 0.00%.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Share Payments will be payable during a term commencing on the date of the first commercial sale of zumilokibart and ending on the fifteenth (15th) anniversary of the date of receipt of marketing approval for zumilokibart.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consummates a change of control with a third party, the Company will be required to pay a certain specified amount to BXLS and would also receive credits against future Revenue Share Payments otherwise payable to BXLS following the consummation of the change of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alternative, at any time following execution of a definitive agreement for a change of control, the Company (or the surviving entity) may elect, in lieu of the required payment described above, to pay BXLS a specified amount calculated under the Revenue Share Agreement to buy down a portion of future Revenue Share Payments (each, a "Buy-Back Option"). If the Company exercises a Buy-Back Option, the Revenue Percentage will be adjusted downward in accordance with the Revenue Share Agreement, and if the Buy-Back Option is exercised prior to the Tranche 4 Trigger, BXLS will no longer be obligated to pay the Tranche 4 Funding, and in such case the Tranche 4 Revenue Percentages across all tiers will be 0.00%.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accounted for the Revenue Share Agreement as a debt financing arrangement in accordance with FASB ASC Topic 470, Debt, because the Company retains significant continuing involvement in generating the underlying revenue on which the Revenue Share Payments are calculated. Funds received under the Revenue Share Agreement are recorded, net of issuance costs, within non-current liabilities and are disclosed as the revenue share liability on the condensed consolidated balance sheet. The revenue share liability and related interest expense are calculated based on the amount of funding received, as well as the Company's estimates of the timing and amount of future Revenue Share Payments expected over the estimated term of the agreement, and are amortized using the effective interest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receipt, Tranche 1 Funding was recorded as a liability and debt issuance costs of $2.3 million were recorded as a direct deduction from the carrying amount of the liability. As of June 30, 2026, the effective interest rate was approximately 16.4%. For the three and six months ended June 30, 2026, the Company recognized $1.6 million in 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estimates of future Revenue Share Payments involve significant judgment and are based on a number of assumptions, including expected regulatory and commercial launch timelines, projected net product sales and probability of success over the term of the Revenue Share Agreement. Changes in these assumptions could have a material impact on the effective interest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in Note 1, the Company has entered into a Merger Agreement with AbbVie and, accordingly, the option to make the Buy-Back Payment described above is currently available to the Company. If the Merger closes, the Buy-Back Option is not exercised within the required timeframe, and no additional tranches have been funded after the Tranche 1 Funding, the Company will be required to pay $100.0 million to BXLS and would also receive credits against future Revenue Share Payments. As of June 30, 2026, the Company classified the revenue share liability as long-term because the Merger had not yet closed.</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provides the revenue share liability activity from agreement execution to June 30, 2026:</w:t>
      </w:r>
    </w:p>
    <w:tbl>
      <w:tblPr>
        <w:tblW w:w="5640" w:type="dxa"/>
        <w:jc w:val="left"/>
        <w:tblInd w:w="0" w:type="dxa"/>
        <w:tblLayout w:type="fixed"/>
        <w:tblCellMar>
          <w:top w:w="28" w:type="dxa"/>
          <w:left w:w="28" w:type="dxa"/>
          <w:bottom w:w="28" w:type="dxa"/>
          <w:right w:w="28" w:type="dxa"/>
        </w:tblCellMar>
      </w:tblPr>
      <w:tblGrid>
        <w:gridCol w:w="4291"/>
        <w:gridCol w:w="146"/>
        <w:gridCol w:w="211"/>
        <w:gridCol w:w="781"/>
        <w:gridCol w:w="2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1 Funding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share liability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sz w:val="20"/>
        </w:rPr>
      </w:pPr>
      <w:r>
        <w:rPr>
          <w:rFonts w:ascii="Times New Roman" w:hAnsi="Times New Roman"/>
          <w:b/>
          <w:color w:val="000000"/>
          <w:sz w:val="20"/>
        </w:rPr>
        <w:t>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2023, the Company completed its initial public offering (“IPO”), selling an aggregate of 20,297,500 shares of common stock. Net proceeds were $315.4 million, after deducting underwriting discounts and commissions and other offering expenses. All outstanding preferred units were exchanged into 24,987,750 shares of common stock in connection with the IPO. Following the IPO, the Company is authorized to issue up to 400,000,000 shares of common stock, par value $0.00001.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the Company issued and sold an aggregate of 7,790,321 shares of its common stock in an underwritten public offering. Net proceeds were $450.0 million, after deducting underwriting discounts and commissions and other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2024, the Company entered into an Open Market Sale Agreement (the “Sale Agreement”) with Jefferies LLC (the “Sales Agent”), pursuant to which the Company may offer and sell shares of common stock up to a maximum aggregate offering price of $300.0 million through an at-the-market offering program. In December 2024, the Company sold 926,049 shares of common stock under the ATM Facility for gross proceeds of $44.9 million, less commissions and other offering expenses of $1.4 million. During the year ended December 31, 2025, the Company sold 1,175,701 shares of common stock under the ATM Facility for gross proceeds of $67.6 million, less commissions and other offering expenses of $2.0 million. During the six months ended June 30, 2026, the Company sold 369,220 shares of common stock under the ATM Facility for gross proceeds of $29.7 million, less commissions and other offering expenses of $0.8 million. As of June 30, 2026, $157.8 million remained available for sale under the Sale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2025, the Company issued and sold an aggregate of 8,048,782 shares of its common stock and in lieu of common stock to certain investors, pre-funded warrants to purchase up to 365,853 shares of common stock in an underwritten public offering. Net proceeds were $324.1 million, after deducting underwriting discounts and commissions and other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2026, the Company issued and sold an aggregate of 5,750,000 shares of its common stock in an underwritten public offering. Net proceeds were $377.4 million, after deducting underwriting discounts and commissions and other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75,611,894 and 75,339,499 shares of common stock were issued and outstanding, respectively. The 75,611,894 shares of common stock issued are comprised of 61,852,857 shares of voting common stock, 13,486,642 shares of non-voting common stock and 272,395 shares of unvested restricted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69,038,943 and 68,401,349 shares of common stock were issued and outstanding, respectively. The 69,038,943 shares of common stock issued are comprised of 54,914,707 shares of voting common stock, 13,486,642 shares of non-voting common stock and 637,594 shares of unvested restricted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Shares underlying pre</w:t>
        <w:noBreakHyphen/>
        <w:t>funded warrants are excluded from shares of common stock issued and outstanding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the Company issued pre</w:t>
        <w:noBreakHyphen/>
        <w:t>funded warrants to purchase up to 365,853 shares of common stock at an exercise price of $0.00001 per share. The pre</w:t>
        <w:noBreakHyphen/>
        <w:t>funded warrants were exercisable immediately and are not subject to expiration. As of June 30, 2026, none of the pre-funded warrants have been exercised.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Common Stock</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provides a summary of the unvested restricted common stock award activity during the six months ended June 30, 2026:</w:t>
      </w:r>
    </w:p>
    <w:tbl>
      <w:tblPr>
        <w:tblW w:w="9065" w:type="dxa"/>
        <w:jc w:val="left"/>
        <w:tblInd w:w="0" w:type="dxa"/>
        <w:tblLayout w:type="fixed"/>
        <w:tblCellMar>
          <w:top w:w="28" w:type="dxa"/>
          <w:left w:w="28" w:type="dxa"/>
          <w:bottom w:w="28" w:type="dxa"/>
          <w:right w:w="28" w:type="dxa"/>
        </w:tblCellMar>
      </w:tblPr>
      <w:tblGrid>
        <w:gridCol w:w="4951"/>
        <w:gridCol w:w="146"/>
        <w:gridCol w:w="268"/>
        <w:gridCol w:w="1547"/>
        <w:gridCol w:w="166"/>
        <w:gridCol w:w="146"/>
        <w:gridCol w:w="513"/>
        <w:gridCol w:w="1137"/>
        <w:gridCol w:w="19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w:t>
              <w:br/>
              <w:t>VALUE PER</w:t>
              <w:br/>
              <w:t>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restricted common stock awards vested during the three and six months ended June 30, 2026 was $0.9 million and $1.8 million,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Options and Restricted Stock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2023, in connection with the IPO, the Company’s Board of Directors (the “Board”) and stockholders approved the 2023 Equity Incentive Plan (the “2023 Plan”), which became effective on July 13, 2023. The 2023 Plan provides for the grant of incentive stock options, non-qualified stock options, stock appreciation rights, awards of restricted stock, restricted stock units and other stock-based awards. As of June 30, 2026, 7,788,719 shares of common stock were available for future grant under the 2023 Plan. The number of shares available for grant and issuance under the 2023 Plan is automatically increased on January 1 of each year by a number of shares equal to up to 5% of the outstanding shares of common stock on such date.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Company uses the Black-Scholes option pricing model to estimate the fair value of stock options granted with the following assumptions:</w:t>
      </w:r>
    </w:p>
    <w:tbl>
      <w:tblPr>
        <w:tblW w:w="7810" w:type="dxa"/>
        <w:jc w:val="left"/>
        <w:tblInd w:w="0" w:type="dxa"/>
        <w:tblLayout w:type="fixed"/>
        <w:tblCellMar>
          <w:top w:w="28" w:type="dxa"/>
          <w:left w:w="28" w:type="dxa"/>
          <w:bottom w:w="28" w:type="dxa"/>
          <w:right w:w="28" w:type="dxa"/>
        </w:tblCellMar>
      </w:tblPr>
      <w:tblGrid>
        <w:gridCol w:w="2131"/>
        <w:gridCol w:w="146"/>
        <w:gridCol w:w="2821"/>
        <w:gridCol w:w="146"/>
        <w:gridCol w:w="25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5.5 - 6.25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 - 75.0%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 - 75.2%</w:t>
            </w:r>
          </w:p>
        </w:tc>
      </w:tr>
    </w:tbl>
    <w:p>
      <w:pPr>
        <w:pStyle w:val="TextBody"/>
        <w:bidi w:val="0"/>
        <w:spacing w:before="360" w:after="200"/>
        <w:jc w:val="both"/>
        <w:rPr>
          <w:rFonts w:ascii="Times New Roman" w:hAnsi="Times New Roman"/>
          <w:color w:val="000000"/>
          <w:sz w:val="20"/>
        </w:rPr>
      </w:pPr>
      <w:r>
        <w:rPr>
          <w:rFonts w:ascii="Times New Roman" w:hAnsi="Times New Roman"/>
          <w:color w:val="000000"/>
          <w:sz w:val="20"/>
        </w:rPr>
        <w:t>The following table provides a summary of stock option activity during the six months ended June 30, 2026:</w:t>
      </w:r>
    </w:p>
    <w:tbl>
      <w:tblPr>
        <w:tblW w:w="9977"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95"/>
        <w:gridCol w:w="801"/>
        <w:gridCol w:w="146"/>
        <w:gridCol w:w="146"/>
        <w:gridCol w:w="458"/>
        <w:gridCol w:w="1462"/>
        <w:gridCol w:w="146"/>
        <w:gridCol w:w="146"/>
        <w:gridCol w:w="315"/>
        <w:gridCol w:w="1170"/>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intrinsic value of options exercised during the three and six months ended June 30, 2026 was $16.5 million and $22.9 million, respectively.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provides a summary of the unvested restricted stock unit activity under the 2023 Plan during the six months ended June 30, 2026:</w:t>
      </w:r>
    </w:p>
    <w:tbl>
      <w:tblPr>
        <w:tblW w:w="8075" w:type="dxa"/>
        <w:jc w:val="left"/>
        <w:tblInd w:w="0" w:type="dxa"/>
        <w:tblLayout w:type="fixed"/>
        <w:tblCellMar>
          <w:top w:w="28" w:type="dxa"/>
          <w:left w:w="28" w:type="dxa"/>
          <w:bottom w:w="28" w:type="dxa"/>
          <w:right w:w="28" w:type="dxa"/>
        </w:tblCellMar>
      </w:tblPr>
      <w:tblGrid>
        <w:gridCol w:w="4651"/>
        <w:gridCol w:w="146"/>
        <w:gridCol w:w="174"/>
        <w:gridCol w:w="936"/>
        <w:gridCol w:w="166"/>
        <w:gridCol w:w="146"/>
        <w:gridCol w:w="448"/>
        <w:gridCol w:w="1217"/>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restricted stock units vested during the three and six months ended June 30, 2026 was $1.5 million and $2.9 million,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2023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2023, the Board adopted and the Company’s stockholders approved the 2023 Employee Stock Purchase Plan (the “ESPP”), which became effective on July 13, 2023. The ESPP provides that eligible employees may contribute up to 15% of their eligible earnings toward the semi-annual purchase of the Company’s common stock, subject to any plan limitations. The purchase period under the ESPP has a duration of six months, and the purchase price with respect to each purchase period is equal to 85% of the lesser of (i) the fair market value of the Company’s common stock at the commencement of the applicable six-month purchase period or (ii) the fair market value of the Company’s common stock on the exercise date. As of June 30, 2026, 88,354 shares have been issued under the ESPP and 2,138,677 shares remain available for issuance.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presents the classification of equity-based compensation expense related to equity awards granted to employees, executives, and service providers (in thousands):</w:t>
      </w:r>
    </w:p>
    <w:tbl>
      <w:tblPr>
        <w:tblW w:w="7833" w:type="dxa"/>
        <w:jc w:val="left"/>
        <w:tblInd w:w="0" w:type="dxa"/>
        <w:tblLayout w:type="fixed"/>
        <w:tblCellMar>
          <w:top w:w="28" w:type="dxa"/>
          <w:left w:w="28" w:type="dxa"/>
          <w:bottom w:w="28" w:type="dxa"/>
          <w:right w:w="28" w:type="dxa"/>
        </w:tblCellMar>
      </w:tblPr>
      <w:tblGrid>
        <w:gridCol w:w="3016"/>
        <w:gridCol w:w="146"/>
        <w:gridCol w:w="211"/>
        <w:gridCol w:w="677"/>
        <w:gridCol w:w="146"/>
        <w:gridCol w:w="146"/>
        <w:gridCol w:w="211"/>
        <w:gridCol w:w="677"/>
        <w:gridCol w:w="146"/>
        <w:gridCol w:w="146"/>
        <w:gridCol w:w="211"/>
        <w:gridCol w:w="676"/>
        <w:gridCol w:w="146"/>
        <w:gridCol w:w="211"/>
        <w:gridCol w:w="67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As of June 30, 2026, the total unrecognized compensation expense related to the Company’s stock options, unvested restricted stock and ESPP was $168.3 million, which the Company expects to recognize over a weighted-average period of approximately </w:t>
      </w:r>
      <w:r>
        <w:rPr>
          <w:rFonts w:ascii="Times New Roman" w:hAnsi="Times New Roman"/>
          <w:color w:val="231F20"/>
          <w:sz w:val="20"/>
        </w:rPr>
        <w:t>2.5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Related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considers Paragon to be a related party because Fairmount Funds Management LLC, which beneficially owns more than 5% of Paragon, beneficially owns more than 5% of the Company’s capital stock and, as of the date of this Quarterly Report, has one seat on the Board. Under the Option Agreements and the License Agreements, Paragon, received upfront consideration in the form of common units, is entitled to receive milestone and royalty payments upon specific conditions and receives payments from the Company for providing ongoing services under the agreements (see Note 8). As of June 30, 2026 and December 31, 2025, $0.2 million and $2.1 million were due to Paragon, respectively. For the three and six months ended June 30, 2026, the Company incurred research and development expenses of $0.2 million and $0.9 million with Paragon, respectively. For the three and six months ended June 30, 2025, the Company incurred $0.1 million research and development expenses with Paragon.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38"/>
        <w:gridCol w:w="146"/>
        <w:gridCol w:w="211"/>
        <w:gridCol w:w="1038"/>
        <w:gridCol w:w="166"/>
        <w:gridCol w:w="146"/>
        <w:gridCol w:w="211"/>
        <w:gridCol w:w="1038"/>
        <w:gridCol w:w="166"/>
        <w:gridCol w:w="146"/>
        <w:gridCol w:w="211"/>
        <w:gridCol w:w="1036"/>
        <w:gridCol w:w="166"/>
        <w:gridCol w:w="146"/>
        <w:gridCol w:w="211"/>
        <w:gridCol w:w="1036"/>
        <w:gridCol w:w="393"/>
      </w:tblGrid>
      <w:tr>
        <w:trPr/>
        <w:tc>
          <w:tcPr>
            <w:tcW w:w="3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of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75,443,496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58,428,344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72,571,921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58,312,452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potential common shares, presented based on amounts outstanding at period end, were excluded from the calculation of diluted net loss per share attributable to common stockholders for the period indicated because including them would have been anti-dilutive:</w:t>
      </w:r>
    </w:p>
    <w:tbl>
      <w:tblPr>
        <w:tblW w:w="8876" w:type="dxa"/>
        <w:jc w:val="left"/>
        <w:tblInd w:w="0" w:type="dxa"/>
        <w:tblLayout w:type="fixed"/>
        <w:tblCellMar>
          <w:top w:w="28" w:type="dxa"/>
          <w:left w:w="28" w:type="dxa"/>
          <w:bottom w:w="28" w:type="dxa"/>
          <w:right w:w="28" w:type="dxa"/>
        </w:tblCellMar>
      </w:tblPr>
      <w:tblGrid>
        <w:gridCol w:w="2911"/>
        <w:gridCol w:w="146"/>
        <w:gridCol w:w="168"/>
        <w:gridCol w:w="1073"/>
        <w:gridCol w:w="168"/>
        <w:gridCol w:w="168"/>
        <w:gridCol w:w="168"/>
        <w:gridCol w:w="1073"/>
        <w:gridCol w:w="146"/>
        <w:gridCol w:w="146"/>
        <w:gridCol w:w="150"/>
        <w:gridCol w:w="959"/>
        <w:gridCol w:w="150"/>
        <w:gridCol w:w="150"/>
        <w:gridCol w:w="150"/>
        <w:gridCol w:w="959"/>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6,625,471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6,625,471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5,714,687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321,499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321,499</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7,219,365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7,219,365</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6,966,035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the Company entered into a lease agreement for lab space. In June 2024, the agreement was amended to expand the space and extend the lease term through November 2026, with the option to extend for one year. In January 2025, the agreement was amended to further expand the space. As of June 30, 2026, the remaining lease term was 0.4 years and the weighted average incremental borrowing rate used to determine the operating lease liability was 9.1%.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2024, the Company entered into a lease agreement for office space. The lease term is five years with two one-year options to extend. As of June 30, 2026, the remaining lease term was 3.3 years and the incremental borrowing rate used to determine the operating lease liability was 6.0%.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total current and non-current operating lease liabilities were $2.4 million and $4.5 million, respectively. The Company incurred lease expense of $1.1 million and $2.2 million for the three and six months ended June 30, 2026, respectively. The Company incurred lease expense of $1.1 million and $2.2 million for the three and six months ended June 30, 2025, respectively.</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one operating segment and one reporting unit. The Company’s chief operating decision maker (“CODM”), its Chief Executive Officer, manages the Company’s operations on a consolidated basis for the purposes of assessing performance and allocating resources. All of the Company’s assets are located in the United States.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Company’s segment information for the periods presented (in thousands):</w:t>
      </w:r>
    </w:p>
    <w:tbl>
      <w:tblPr>
        <w:tblW w:w="10205" w:type="dxa"/>
        <w:jc w:val="left"/>
        <w:tblInd w:w="0" w:type="dxa"/>
        <w:tblLayout w:type="fixed"/>
        <w:tblCellMar>
          <w:top w:w="28" w:type="dxa"/>
          <w:left w:w="28" w:type="dxa"/>
          <w:bottom w:w="28" w:type="dxa"/>
          <w:right w:w="28" w:type="dxa"/>
        </w:tblCellMar>
      </w:tblPr>
      <w:tblGrid>
        <w:gridCol w:w="4994"/>
        <w:gridCol w:w="146"/>
        <w:gridCol w:w="211"/>
        <w:gridCol w:w="736"/>
        <w:gridCol w:w="166"/>
        <w:gridCol w:w="146"/>
        <w:gridCol w:w="211"/>
        <w:gridCol w:w="676"/>
        <w:gridCol w:w="166"/>
        <w:gridCol w:w="146"/>
        <w:gridCol w:w="211"/>
        <w:gridCol w:w="781"/>
        <w:gridCol w:w="166"/>
        <w:gridCol w:w="146"/>
        <w:gridCol w:w="211"/>
        <w:gridCol w:w="781"/>
        <w:gridCol w:w="311"/>
      </w:tblGrid>
      <w:tr>
        <w:trPr/>
        <w:tc>
          <w:tcPr>
            <w:tcW w:w="4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expenses</w:t>
            </w:r>
            <w:r>
              <w:rPr>
                <w:rFonts w:ascii="Times New Roman" w:hAnsi="Times New Roman"/>
                <w:color w:val="000000"/>
                <w:sz w:val="13"/>
              </w:rPr>
              <w:t>(1)</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personnel-related (excluding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costs - zumilokibart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costs - APG990 / APG279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costs - APG333 / APG273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costs - APG531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External-discovery related costs and other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personnel-related (excluding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General and administrative operations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Merger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significant expense categories and amounts align with the segment-level information that is regularly provided to the CODM.</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External-discovery related costs and other include expenses related to APG808.</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General and administrative operations are comprised of finance, investor relations, business development, human resources, legal, facilities &amp; IT, and certain overhead expenses.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evaluated subsequent events through the date on which these financial statements were issued to ensure that these condensed consolidated financial statements include appropriate disclosure of events both recognized in the financial statements as of June 30, 2026 and events which occurred subsequently but not recognized in the financial statements. No subsequent events have occurred that require disclosure.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83"/>
        <w:jc w:val="both"/>
        <w:rPr>
          <w:rFonts w:ascii="Times New Roman" w:hAnsi="Times New Roman"/>
          <w:color w:val="000000"/>
          <w:sz w:val="20"/>
        </w:rPr>
      </w:pPr>
      <w:bookmarkStart w:id="11" w:name="item_2_management_discussion_and"/>
      <w:bookmarkEnd w:id="11"/>
      <w:r>
        <w:rPr>
          <w:rFonts w:ascii="Times New Roman" w:hAnsi="Times New Roman"/>
          <w:color w:val="000000"/>
          <w:sz w:val="20"/>
        </w:rPr>
        <w:t>Item 2. Management’s Discussion and Analysis of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the condensed consolidated financial statements and related notes included elsewhere in this Quarterly Report, as well as our audited consolidated financial statements and the related notes included in our Annual Report on Form 10-K filed with the Securities and Exchange Commission (“SEC”). The following discussion contains forward-looking statements regarding the proposed Merger, including the timing, completion and anticipated benefits of the Merger and the satisfaction of the conditions to closing, and forward looking statements that reflect our current plans, forecasts, estimates and beliefs and involve risks and uncertainties. Our historical results are not necessarily indicative of the results that may be expected for any period in the future. Our actual results, outcomes and the timing of events could differ materially from those discussed in the forward-looking statements. Factors that could cause or contribute to these differences include those discussed below and elsewhere in this Quarterly Report, particularly in the section titled “Special Note Regarding Forward Looking Statements” and “Risk Factors.” We urge you to consider these factors carefully in evaluating the forward-looking statements contained in this Quarterly Report. Forward-looking statements are not historical facts, reflect our current views with respect to future events, and apply only as of the date made. We do not intend, and undertake no obligation, to update these forward-looking statements, except as required by law. Unless the context requires otherwise, references to “we,” “us,” “our,” “Apogee” or “the Company” refer to Apogee Therapeutics, Inc. and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contains references to our programs, which are used interchangeably to refer to our clinical programs within our pipeline and our products under development.</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biotechnology company advancing optimized, novel biologics with the potential for differentiated efficacy and dosing in the largest inflammatory and immunology (“I&amp;I”) markets, including for the treatment of atopic dermatitis (“AD”), asthma, eosinophilic esophagitis (“EoE”), chronic obstructive pulmonary disease (“COPD”), and other I&amp;I indications. Our antibody programs are designed to overcome limitations of existing therapies by targeting well-established mechanisms of action and incorporating advanced antibody engineering to optimize half-life and other properties.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comprises multiple antibody programs being developed initially for the treatment of I&amp;I indications as monotherapies and combinations, including zumilokibart (APG777), APG279 (zumilokibart + APG990), APG273 (zumilokibart + APG333), APG531 and APG808 (each a “program” or “product candidate”). With five validated targets in our portfolio, we are seeking to achieve best-in-class efficacy and dosing through monotherapies and combinations of our novel antibodies. Based on a broad pipeline and depth of expertise, we believe we can deliver value and meaningful benefit to patients underserved by today’s standard of care. We believe each of our product candidates has potential for broad application across multiple I&amp;I indications.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Zumilokibart – anti-IL13 antibody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Zumilokibart is a subcutaneous (“SQ”) extended half-life monoclonal antibody (“mAb”) targeting IL-13.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Phase 1 Trial in Healthy Volunteers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2023, we initiated a Phase 1 trial of zumilokibart in healthy volunteers. The zumilokibart Phase 1 trial was a double-blind, placebo-controlled study in healthy volunteers and consisted of a single-ascending dose (“SAD”) component and a multiple ascending dose component. Eight healthy volunteers, six treated with zumilokibart and two treated with placebo, were enrolled in each cohort, and we enrolled a total of 40 healthy adult subjects in the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2024, we announced positive interim safety and pharmacokinetic (“PK”) data from this trial with zumilokibart demonstrating a potential best-in-class PK profile, including a half-life of 77 days, supporting the potential for every three- to six- month maintenance dosing in AD. Single doses of zumilokibart demonstrated a deep and sustained effect on pharmacodynamic (“PD”) markers out to approximately 12 months. Zumilokibart was well-tolerated across all dose groups.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APEX Phase 2 Trial for Patients with AD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2024, we announced dosing of our first patient in the APEX Phase 2 clinical trial, which is a randomized, placebo-controlled study evaluating zumilokibart in patients with moderate-to-severe AD.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2025, we announced positive 16-week data from the Part A portion of the APEX Phase 2 clinical trial. Part A of the trial enrolled 123 adult patients who were randomized 2:1 to zumilokibart versus placebo and received an induction regimen dosing of 720mg at Weeks 0 and 2, followed by 360mg at Weeks 4 and 12. The primary endpoint for the induction arm of Part A was percentage change in Eczema Area Severity Index (“EASI”) score from baseline at Week 16. Secondary endpoints included EASI-75, EASI-90, Validated Investigator Global Assessment (“vIGA”) 0/1 and Itch Numeric Rating Scale (“Itch NRS”) at Week 16. In non-head-to-head trial comparisons, the initial 16-week findings from Part A included efficacy results, which compared favorably versus standard of care across endpoints, as well as rapid onset of itch relief and lesion reduction, and a favorable safety profile consistent with its class.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Part A trial met its primary endpoint, with zumilokibart showing significantly greater least squares mean percent change from baseline at Week 16 with an EASI reduction of 71.0% compared to placebo of 33.8% (p &lt; 0.001). Zumilokibart showed the highest absolute and placebo-adjusted EASI-75 of any biologic in a 16-week global study with 66.9% of patients treated with zumilokibart achieving EASI-75 compared to 24.6% on placebo (p &lt; 0.001). Pre-specified sensitivity analysis showed consistent results in both moderate and severe patients based on baseline EASI score. The results demonstrated a vIGA 0/1 of 34.9% compared to placebo of 17.3% (p &lt; 0.05) and an EASI-90 of 33.9% compared to placebo of 14.7% (p &lt; 0.05). Treatment of patients with zumilokibart led to rapid and deep onset of itch relief and achieved a statistically significant reduction by Week 1, with a 50.7% reduction of Itch NRS from baseline compared to placebo of 23.2% (p &lt; 0.01) at Week 16. Zumilokibart was well-tolerated, with 56.1% of zumilokibart -exposed patients experiencing treatment-emergent adverse events (“TEAEs”) (vs. 63.4% in placebo). The most common TEAEs, occurring in more than 5% of patients, were non-infective conjunctivitis (14.6% vs. 2.4% in placebo), upper respiratory tract infection (8.5% vs 12.2% in placebo), nasopharyngitis (4.9% vs. 12.2% in placebo), and pain in extremity (0.0% vs. 7.3% in placebo) with the latter three being numerically lower in zumilokibart treated patients compared to placebo. Serious TEAEs were rare for zumilokibart -exposed patients (1.2% vs. 2.4% in placebo). The discontinuation rate due to adverse events was low for zumilokibart -exposed patients (2.4%). There were no injection site reactions in the zumilokibart treated group. In addition, improvement in asthma and sinusitis, as measured by improvements in the Asthma Control Questionnaire and Sinonasal Outcome Test in patients with comorbid asthma or sinusitis, was observed, which reflect zumilokibart’s potential to broadly impact Type 2 inflammatory disease.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Part A patients that benefited from treatment in the induction arm received the opportunity to continue to zumilokibart maintenance treatment, which evaluated three and six-month dosing intervals. Patients in the placebo arm for the first 16 weeks also received the opportunity to receive an induction regimen of zumilokibart followed by three-month dosing of zumilokibart.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2026, we announced positive 52</w:t>
        <w:noBreakHyphen/>
        <w:t>week maintenance data from the Part A portion of the APEX Phase 2 clinical trial. The 52</w:t>
        <w:noBreakHyphen/>
        <w:t>week maintenance portion of the trial evaluated 360mg of zumilokibart administered at three</w:t>
        <w:noBreakHyphen/>
        <w:t>month and six</w:t>
        <w:noBreakHyphen/>
        <w:t>month maintenance dosing intervals. Results focused on two analysis populations: the Week 16 zumilokibart responder population and the full 52-week zumilokibart-treated population. At Week 52, zumilokibart demonstrated strong maintenance of response among Week 16 responders, with deepening of efficacy across the full treated population for all lesion and itch endpoints. Among Week 16 responders, 75% and 85% of patients receiving three</w:t>
        <w:noBreakHyphen/>
        <w:t>month and six</w:t>
        <w:noBreakHyphen/>
        <w:t>month maintenance dosing, respectively, maintained EASI</w:t>
        <w:noBreakHyphen/>
        <w:t>75. In addition, 86% and 78% of patients receiving three</w:t>
        <w:noBreakHyphen/>
        <w:t>month and six</w:t>
        <w:noBreakHyphen/>
        <w:t>month maintenance dosing, respectively, maintained a vIGA 0/1 at Week 52. Across the entire population treated with zumilokibart, responses improved through Week 52 for both every three - and six -month dosing regimens. vIGA 0/1 response of 72% and 52% was achieved at Week 52 for patients receiving three-month and six-month maintenance dosing, respectively, an improvement of 35% and 14% from Week 16 for the three-month and six-month dosing regimens, respectively. In addition, EASI-90 of 75% and 48% was achieved at Week 52 for patients receiving three-month and six-month maintenance dosing regimens, respectively, an improvement of 36% and 10% from Week 16 for the three-month and six-month regimens, respectively. EASI-100 of 41% and 19% was achieved at Week 52 for patients receiving three-month and six-month maintenance dosing regimens, respectively, an improvement of 33% and 11% from Week 16 for the three-month and six-month dosing regimens, respectively. Of patients who achieved EASI-90 at Week 16, 88% of patients with every 3-month dosing and 72% of patients with every 6-month dosing maintained such response at Week 52.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Zumilokibart was generally well tolerated over the 52</w:t>
        <w:noBreakHyphen/>
        <w:t>week treatment period, with a safety profile consistent with other agents in its class. The most commonly reported TEAEs included non-infective conjunctivitis, upper respiratory tract infection, and nasopharyngitis.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APEX Part A induction regimen was designed to exceed EBGLYSS exposures by approximately 30% to 40% with potential for improved clinical outcomes and a maintenance regimen designed to equal lebrikizumab’s exposures. The results at Week 16 of the Part A study showed that patients in the highest zumilokibart exposure quartile (n=19) achieved the highest clinical response of any quartile in a post hoc exposure-response analysis. These patients had a mean 84.0% reduction in EASI from baseline, 89.5% of patients reaching EASI-75, 63.2% achieving vIGA0/1, and 63.2% achieving EASI-90, demonstrating a robust response at the highest exposure level. The highest zumilokibart Part B dose was designed to exceed EBGLYSS exposures by approximately 90 to 100% which is similar to the exposure obtained in the highest quartile of the Part A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2026, we announced positive 16-week induction dose optimization results from the Part B portion of the APEX Phase 2 clinical trial of zumilokibart in patients with moderate-to-severe AD. The Part B portion of the trial enrolled 346 adult patients who were randomized 1:1:1:1 to receive high-, mid- or low-dose zumilokibart or placebo. The primary endpoint for the Part B portion of the trial was the proportion of patients who achieved at least a 75% reduction in EASI-75 at Week 16. Secondary endpoints included vIGA 0/1, EASI-90, Itch NRS, EASI-100 and very low disease activity (“vLDA”), defined as EASI-90 plus I-NRS 0/1, at Week 16. The Part B trial met its primary endpoint, with all three zumilokibart dose arms demonstrating statistically significant improvements in EASI-75 compared to placebo at Week 16. EASI-75 was achieved by 61.6% of patients in the high-dose arm, 65.9% of patients in the mid-dose arm and 50.5% of patients in the low-dose arm, compared to 23.4% of patients in the placebo arm. The planned Phase 3 dose, corresponding to the mid-dose arm, also met key secondary endpoints at Week 16, with 46.0% of patients achieving vIGA 0/1 compared to 10.9% in the placebo arm, 47.4% of patients achieving EASI-90 compared to 9.3% in the placebo arm, 50.5% of patients achieving an I-NRS ≥4 reduction from baseline compared to 13.9% in the placebo arm, 16.5% of patients achieving EASI-100 compared to 3.4% in the placebo arm and 20.6% of patients achieving vLDA compared to 4.5% in the placebo arm. Zumilokibart was well tolerated in Part B, with a safety profile generally consistent with other agents in the class. The most common TEAEs in patients treated with zumilokibart were nasopharyngitis, headache and noninfective conjunctivitis. For the planned Phase 3 dose, corresponding to the mid-dose arm, the pooled conjunctivitis rate, including all conjunctivitis preferred terms, was 10.6%, compared to 15.1% for the low-dose arm and 20.7% for the high-dose arm. Based on results from the APEX clinical program, we plan to initiate Phase 3 trials of zumilokibart for moderate-to-severe AD with the mid-dose in the second half of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Anticipated Program Milestones for Zumilokibart for the Treatment of AD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results from the APEX clinical program, we plan to initiate Phase 3 trials of zumilokibart for moderate-to-severe AD (the “ADventure trials”) with the mid-dose in the second half of 2026. The ADventure 1 and ADventure 2 trials are randomized, placebo-controlled, replicate Phase 3 monotherapy trials evaluating zumilokibart in patients with moderate-to-severe AD (EASI ≥16, vIGA ≥3, BSA ≥10%). Each study is expected to enroll approximately 400 patients and includes a 16-week induction period followed by maintenance through Week 52. In maintenance, patients will receive dosing every three or six months. The co-primary endpoint is EASI-75 and IGA 0/1 at Week 16, with additional assessment at Week 52. We anticipate the ADventure 1 and ADventure 2 monotherapy data readouts in the first half of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ADventure TCS Phase 3 trial will evaluate zumilokibart in combination with background topical corticosteroids (“TCS”) in patients with moderate-to-severe AD (EASI ≥16, vIGA ≥3, BSA ≥10%). The randomized, placebo-controlled study is expected to enroll approximately 400 patients and includes a 16-week induction period and maintenance through Week 52. The co-primary endpoint is EASI-75 and IGA 0/1 at Week 16, with longer-term outcomes assessed at Week 52. We anticipate the ADventure TCS combination data readout in the second half of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Apogee also expects Phase 2 APEX Part B 52-week maintenance data in the first half of 2027, Phase 2 APEX Part A 2-year follow-up data in the second half of 2027 and the potential launch of zumilokibart for the treatment of AD in 2029, pending regulatory interactions.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Phase 1b Trial in Patients with Asthma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we initiated a Phase 1b trial of zumilokibart in patients with mild-to-moderate asthma, and in January 2026, we announced positive interim data from the trial. The trial is a double-blind, placebo-controlled trial evaluating the safety and tolerability of zumilokibart in patients with mild-to-moderate asthma. The trial is designed to also evaluate fractional exhaled nitric oxide (“FeNO”) suppression, a biomarker of Type 2 inflammation that has shown the strongest correlation with exacerbations in asthma. The trial enrolled 31 adult patients who were randomized 3:1 to zumilokibart versus placebo and participants received a single dose of 720mg of zumilokibart or placebo on day 1. Nineteen of the patients with mild-to-moderate asthma had a FeNO baseline ≥25 ppb, representative of asthma with Type 2 inflammation, and as a result met the pre-specified criteria for the analysis population.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trial, zumilokibart demonstrated a favorable safety profile and was well-tolerated in all patients. In the 14 patients treated with zumilokibart in the analysis population, the only TEAEs observed in more than one patient was gastroesophageal reflux disease (“GERD”), which was observed in 2 patients. In the analysis population, there were no Grade 3 or higher TEAEs or serious adverse events observed and no conjunctivitis, injection site reactions, or anti-drug antibodies were observed. In the full safety population (n=31) that were on treatment (n=23), TEAEs occurring in more than one patient on zumilokibart were upper respiratory tract infection (n=3), nasopharyngitis (n=2), GERD (n=2), and arthralgia (n=2); there were no Grade 3 or higher TEAEs or serious adverse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Zumilokibart demonstrated robust and durable suppression of FeNO following a single dose in the analysis population. A maximum absolute mean FeNO reduction of 45 ppb (60% decrease from baseline) after a single dose was observed in the analysis population. Durable FeNO suppression through 16 weeks was observed for all patients in the analysis population. Zumilokibart also demonstrated suppression of FeNO through 32 weeks for those patients in the analysis population with follow up available at the time of the data cut (n=3), supporting the potential for three- or six- month dosing. In the trial, positive trends were observed in forced expiratory volume in one second (“FEV1”) and across Type 2 biomarkers for all available data in the analysis population. FEV1 is a PD measure of lung function. Based on these results, we anticipate initiating the ASPIRE Phase 2b asthma trial in the first half of 2027.</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Expansion Opportunities in Other Indications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results from the Phase 1b trial of zumilokibart for the treatment of asthma, in addition to topline induction data from the Part B portion of the APEX Phase 2 trial in AD, will allow us to determine dose selections for further expansion indications in 2027 and beyond, including but not limited to asthma and EoE. We expect to announce plans for the Phase 2 ELEVATE trial for the treatment of EoE in the second half of 2026. Based on our clinical data, we expect to further evaluate additional opportunities to develop zumilokibart for other I&amp;I indications, including alopecia areata, chronic rhinosinusitis with nasal polyps, chronic spontaneous urticaria, and prurigo nodularis.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plan to evaluate zumilokibart in combination with other investigational therapies within our pipeline to potentially enable greater efficacy for I&amp;I conditions. The first of these combinations is APG279, which combines zumilokibart with APG990, our novel, SQ, half-life extended mAb targeting OX40L. We are also evaluating APG273, which combines zumilokibart with APG333, our novel, SQ, half-life extended mAb targeting thymic stromal lymphopoietin (“TSLP”).</w:t>
      </w:r>
    </w:p>
    <w:p>
      <w:pPr>
        <w:pStyle w:val="TextBody"/>
        <w:bidi w:val="0"/>
        <w:spacing w:before="360" w:after="283"/>
        <w:jc w:val="left"/>
        <w:rPr>
          <w:rFonts w:ascii="Times New Roman" w:hAnsi="Times New Roman"/>
          <w:sz w:val="20"/>
        </w:rPr>
      </w:pPr>
      <w:r>
        <w:rPr>
          <w:rFonts w:ascii="Times New Roman" w:hAnsi="Times New Roman"/>
          <w:b/>
          <w:i/>
          <w:color w:val="000000"/>
          <w:sz w:val="20"/>
        </w:rPr>
        <w:t>APG279 – Combination of zumilokibart and APG990 – anti-OX40L antibody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zumilokibart and APG990 together as APG279, a potential first-in-class coformulation for the treatment of AD by combining deep and sustained inhibition of Type 2 inflammation via zumilokibart’s inhibition of IL-13 with broader inhibition of Type 1-3 inflammation through APG990’s inhibition of OX40L. APG990 is an SQ extended half-life mAb that utilizes advanced antibody engineering to target OX40L.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2024, we initiated a Phase 1 clinical trial of APG990, which was designed as a double-blind, placebo-controlled, first-in-human, SAD trial designed to evaluate the safety and PK of APG990 in 40 healthy adult participants across five cohorts. Doses of SQ APG990 evaluated in the study included 75mg, 150mg, 300mg, 600mg and 1,200mg. In March 2025, we announced positive interim safety and PK data from the trial. PK data showed a half-life of approximately 60 days across doses tested. APG990, in single doses up to 1,200mg, was well-tolerated and showed a favorable safety profile, consistent with other assets targeting OX40L. The most common (≥10%) TEAEs were headache. 53% of participants observed at least one TEAE and there were no Grade 3 TEAEs related to study drug or severe adverse events. No adverse events led to study discontinuation. There were no cases of pyrexia or chills.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2025, we commenced dosing in the Phase 1b trial of APG279 against DUPIXENT in patients with moderate-to-severe AD. Enrollment was completed with 86 patients, and we expect a data readout in the second half of 2026. The initial clinical trial of APG279 is being conducted as a coadministration of zumilokibart and APG990. We plan to advance the development of APG279 in future studies as a coformulation. The PK data for APG990, when considered together with APG279 coformulation data, provides the potential for dosing the combination two to four times per year with a single 2 mL coformulated injection. We anticipate the Phase 1b trial of APG279 against DUPIXENT to readout in the second half of 2026.</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APG273 – Combination of zumilokibart and APG333 - anti-TSLP antibody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developing zumilokibart and APG333 together as APG273, a potential quarterly or less frequently dosed co-formulation for the treatment of asthma and COPD. APG333 is a fully-human mAb against TSLP, an epithelial cell-derived cytokine that has emerged as an attractive validated target for the treatment of people living with asthma and COPD, with the potential for extended half-life and to be used in combination with other mAbs for potentially greater efficacy in broader populations.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2024, we initiated a Phase 1 clinical trial of APG333 in healthy volunteers, and in November 2025, we announced positive interim safety, PK and PD results from the clinical trial. APG333 demonstrated a half-life of approximately 55 days, supporting the potential for every three- and six-month dosing. In addition, key biomarkers of eosinophils and IL-5 showed depth of suppression in line with TSLP analogs and durability out to 6 months (limit of available follow-up).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APG333, with single doses of up to 1,000mg, was well-tolerated across the four cohorts. The most common TEAEs occurring in ≥10% of APG333 treated participants were headache and upper respiratory tract infection. TEAEs were generally mild and self-limited and there were no dose dependent trends in TEAEs seen. There were no Grade 3 TEAEs or severe adverse events; and no adverse events led to study discontinuation.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plan to announce additional clinical plans for APG273 in the second half of 2026 to support advancement into future combination trials in asthma and COPD.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APG531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2026, we also announced that we entered into an antibody discovery agreement with Paragon (the “2026 Option Agreement”) pursuant to which Paragon agrees to generate and characterize monospecific antibody candidates directed to interleukin 31 receptor (IL-31R). Contemporaneously with the execution of the 2026 Option Agreement, we entered into a license agreement with Paragon (the “IL-31R License Agreement”) pursuant to which Paragon granted to us an exclusive, worldwide, royalty-bearing, sublicensable right and license with respect to certain information, patent rights and sequence information related to antibodies discovered under the 2026 Option Agreement and directed at the IL-31R target to use, make, sell, import, export and otherwise exploit the antibodies directed at the IL-31R target. For additional information on the 2026 Option Agreement and IL-31R License Agreement, see the section titled “Notes to Consolidated Financial Statements—Other Significant Agreements” included elsewhere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announcing plans for the APG531 program in the first half of 2027.</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APG808 – anti-IL4Rα antibody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APG808 is an SQ extended half-life mAb targeting IL-4Rα, a target with clinical validation across eight different Type 2 allergic diseases. In March 2024, we commenced dosing of the first healthy volunteers in the APG808 Phase 1 trial, and in September 2024, we commenced dosing of the first asthma patients as a cohort in that Phase 1 trial. In December 2024, we announced positive interim safety, PK and PD data from the Phase 1 trial. APG808 demonstrated a potential best-in-class PK profile, including a half-life of approximately 55 days at projected, clinically relevant steady state exposures, supporting the potential for every two- to three-month maintenance dosing. Single doses of APG808 demonstrated a deep and sustained effect on PD markers out to approximately three months (longest follow-up available at time of data cut). APG808 was well-tolerated across all dose groups.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2025, we announced positive interim results from the Phase 1b trial of APG808 in patients with mild-to-moderate asthma. The trial was a double-blind, placebo-controlled, multiple-dose trial, which evaluated the safety and tolerability of APG808 in 22 adult patients with mild-to-moderate asthma. The trial also evaluated FeNO, thymus and activation-regulated chemokine (“TARC”), and pSTAT6. Participants were randomized 3:1, receiving 600mg of APG808 or placebo on day 1 and day 29.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demonstrated that APG808 was well-tolerated, with multiple doses of APG808 resulting in rapid suppression of FeNO, with a maximal robust FeNO decrease from baseline of 53% and sustained FeNO decrease from baseline of 50% at 12 weeks. APG808 also demonstrated sustained and near-complete reduction in pSTAT6 as well as deep reduction of TARC maintained through 12 weeks. The most common TEAEs observed were headache, injection site erythema, and upper respiratory tract infections. There were no Grade 3 TEAEs or severe adverse events, and no adverse events led to study discontinuation.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APG808’s optimized PK profile coupled with FeNO suppression out to 12-weeks reinforces the potential for 2-months or longer maintenance dosing, offering a significant advantage compared to the current bi-weekly standard of care.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Recent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summarizes key business developments for the six months ended June 30, 2026, excluding program updates discussed in the “Overview” section above.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Merger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18, 2026, we entered into the Merger Agreement with Parent, Merger Sub and, solely for the limited purposes set forth therein, AbbVie. Under the terms of the Merger Agreement and in accordance with the General Corporation Law of the State of Delaware (“DGCL”), if the Merger is completed, Merger Sub will merge with and into us, and we will continue as the surviving corporation as a wholly owned subsidiary of Parent. In addition, all shares of our common stock outstanding immediately prior to closing (other than Cancelled Shares and Dissenting Shares (as defined in the Merger Agreement)) will be cancelled and converted into the right to receive $135.11 per share in cash, without interest and subject to any applicable withholding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completion of the pending Merger is conditioned upon (i) the adoption of the Merger Agreement and approval of the Merger by the holders of at least a majority of the outstanding shares of our voting common stock, (ii) for so long as at least 6,061,821 shares of our non-voting common stock remain issued and outstanding, the adoption of the Merger Agreement and approval of the Merger by at least a majority of the outstanding shares of our non-voting common stock, (iii) the expiration or earlier termination of any waiting period (and any extension thereof) under the Hart-Scott-Rodino Antitrust Improvements Act of 1976, as amended (the “HSR Act”), and the filings specified on the Company Disclosure Schedule to the Merger Agreement (which will also include filings to be made to the U.K. Competition and Markets Authority under the U.K. Enterprise Act of 2002 or the European Commission under Article 22 of the EU Merger Regulation, in each case, if such authority indicates in writing to AbbVie that it has decided to formally investigate the Merger or has received a referral request, as applicable) and any voluntary commitment or agreement with the U.S. Federal Trade Commission (“FTC”), U.S. Department of Justice (“DOJ”) or any other governmental body not to consummate the Merger, (iv) the absence of legal restraints preventing or otherwise making illegal the consummation of the Merger, (v) the accuracy of representations and warranties that we made and compliance by us with covenants contained in the Merger Agreement, subject to qualifications, (vi) there not having been a “Material Adverse Effect” (as defined in the Merger Agreement) with respect to us since the date of the Merger Agreement that is continuing, and (vii) other customary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in the definitive proxy statement filed on July 13, 2026 (the “Proxy Statement”), we and Parent each filed a notification of the proposed Merger with the FTC and DOJ under the HSR Act on July 6, 2026. On August 5, 2026, the applicable waiting period under the HSR Act expired. The expiration of the waiting period under the HSR Act satisfies one of the conditions to the completion of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as previously disclosed in the Proxy Statement, on July 7, 2026, Parent filed a notification under the German Act against Restraints of Competition 1957, as amended, with the German Federal Cartel Office (the “FCO”). As disclosed in the definitive additional materials filed on August 3, 2026, which amended and supplemented the Proxy Statement (the “Proxy Supplement”), Parent obtained from the FCO unconditional clearance for the Merger in Germany. In addition, as previously disclosed in the Proxy Statement, on July 7, 2026, Parent filed a notification under the Austrian Cartel Act 2005, as amended, with the Austrian Federal Competition Authority, for which the Phase 1 statutory review period expired on August 4, 2026. Accordingly, the closing conditions relating to the receipt of Regulatory Approvals with respect to the German Act against Restraints of Competition 1957, as amended, and the Austrian Cartel Act 2005, as amended, have been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in the Proxy Supplement, on July 27, 2026, Parent also filed a notification under the Australian Competition and Consumer Act 2010, as amended, with the Australian Competition and Consumer Commission (the “ACCC”), for which the Phase 1 statutory review period will expire on September 7, 2026, unless such period is terminated earlier by the ACCC. Completion of the Merger remains subject to the satisfaction or waiver of other customary closing conditions described in the Merger Agreement, including the receipt of any clearance, consent or affirmative approval applicable to the filings specified on the Company Disclosure Schedule to the Merger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parties expect the Merger to close in the third quarter of 2026. Following completion of the Merger, our common stock will no longer be publicly listed.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Merger Agreement contains termination rights for us and Parent. If the Merger Agreement is terminated under specified circumstances, we will be required to pay Parent a fee of $381,273,716.</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Participation Right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26, 2026, we entered into a revenue participation right purchase and sale agreement (the “Revenue Share Agreement”) with Annapurna Aggregator L.P., an affiliate of funds managed by Blackstone Life Sciences (“BXLS”). Pursuant to the Revenue Share Agreement, in exchange for an upfront payment of $100.0 million (the “Tranche 1 Funding”), BXLS purchased from us the right to receive tiered revenue share payments (the “Revenue Share Payments”) with respect to annual worldwide net product sales (“Net Sales”) of zumilokibart. In addition, under the Revenue Share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BXLS will purchase additional Revenue Share Payments from us in exchange for a payment of $100.0 million (the “Tranche 2 Funding”), upon the occurrence of full enrollment of patients in both of our planned registrational monotherapy Phase 3 clinical trials of zumilokibart in patients with AD, coded by us as APG777-301 and APG777-302 (the “Zumilokibart Phase 3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BXLS will purchase additional Revenue Share Payments from us in exchange for a payment of $200.0 million (the “Tranche 3 Funding”), upon the occurrence of positive data readouts from the Zumilokibart Phase 3 Clinical Trials meeting the success criteria set forth in the Revenue Share Agreement;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BXLS will purchase additional Revenue Share Payments from us in exchange for a payment (the “Tranche 4 Funding”) of, at our election, between $250.0 million and up to $400.0 million (“Tranche 4 Maximum Purchase Price”), upon zumilokibart’s receipt of marketing approval from the U.S. Food and Drug Administration for the treatment of AD on or prior to December 31, 2030 (the “Tranche 4 Trigger”).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Share Payments are based on tiered percentage rates of aggregate annual Net Sales of zumilokibart (“Annual Aggregate Product Net Sales”). Under the Revenue Share Agreement, the revenue percentage payable to BXLS is the sum of (a) the base revenue percentage (the “Base Revenue Percentage”) and (b) the tranche 4 revenue percentage (the “Tranche 4 Revenue Percentage” and, together with the Base Revenue Percentage, the “Revenue Percentages”), which applies only from and after the Tranche 4 Funding.</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table below summarizes the Revenue Percentages payable to BXLS, based on the tiers of Annual Aggregate Product Net Sales. The Base Revenue Percentage shown reflects the rate applicable after receipt of the Tranche 1 Funding; this rate would double upon receipt of the Tranche 2 Funding, and double again upon receipt of the Tranche 3 Funding. The Tranche 4 Revenue Percentage is subject to proportional adjustment if the Tranche 4 Funding is less than the Tranche 4 Maximum Purchase Price:</w:t>
      </w:r>
    </w:p>
    <w:tbl>
      <w:tblPr>
        <w:tblW w:w="10205" w:type="dxa"/>
        <w:jc w:val="left"/>
        <w:tblInd w:w="0" w:type="dxa"/>
        <w:tblLayout w:type="fixed"/>
        <w:tblCellMar>
          <w:top w:w="28" w:type="dxa"/>
          <w:left w:w="28" w:type="dxa"/>
          <w:bottom w:w="28" w:type="dxa"/>
          <w:right w:w="28" w:type="dxa"/>
        </w:tblCellMar>
      </w:tblPr>
      <w:tblGrid>
        <w:gridCol w:w="3915"/>
        <w:gridCol w:w="146"/>
        <w:gridCol w:w="1724"/>
        <w:gridCol w:w="146"/>
        <w:gridCol w:w="2040"/>
        <w:gridCol w:w="146"/>
        <w:gridCol w:w="2088"/>
      </w:tblGrid>
      <w:tr>
        <w:trPr/>
        <w:tc>
          <w:tcPr>
            <w:tcW w:w="3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3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Annual Aggregate Product 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Revenue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Tranche 4 Revenue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Revenue Percentage</w:t>
            </w:r>
          </w:p>
        </w:tc>
      </w:tr>
      <w:tr>
        <w:trPr/>
        <w:tc>
          <w:tcPr>
            <w:tcW w:w="3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and including $5 billion (“Tier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3.4375%</w:t>
            </w:r>
          </w:p>
        </w:tc>
      </w:tr>
      <w:tr>
        <w:trPr/>
        <w:tc>
          <w:tcPr>
            <w:tcW w:w="3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excess of $5 billion but less than or equal to $8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Tranche 4 Revenue Percentage is subject to a cap of $1.0 billion in aggregate Tranche 4-related Revenue Share Payments to BXLS, after which the Tranche 4 Revenue Percentage for Tier 1 decreases to 0.00%.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Share Payments will be payable during a term commencing on the date of the first commercial sale of zumilokibart and ending on the fifteenth (15th) anniversary of the date of receipt of marketing approval for zumilokibart.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consummates a change of control with a third party, the Company will be required to pay a certain specified amount to BXLS and would also receive credits against future Revenue Share Payments otherwise payable to BXLS following the consummation of the change of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alternative, at any time following execution of a definitive agreement for a change of control, we (or the surviving entity) may elect, in lieu of the required payment described above, to pay BXLS a specified amount calculated under the Revenue Share Agreement to buy down a portion of future Revenue Share Payments (each, a "Buy-Back Option"). If we exercise a Buy-Back Option, the Revenue Percentage will be adjusted downward in accordance with the Revenue Share Agreement, and if the Buy-Back Option is exercised prior to the Tranche 4 Trigger, BXLS will no longer be obligated to pay the Tranche 4 Funding, and in such case the Tranche 4 Revenue Percentages across all tiers will be 0.00%. Under the Revenue Share Agreement, for the purposes of providing additional assurance to BXLS, including in the event of a recharacterization, we have granted BXLS a backup security interest in, among other things, the revenue participation right, the Revenue Share Payments, and our intellectual property and other product rights related to zumilokibart. This backup security interest will terminate upon the later of (a) a change of control with a permitted transferee and (b) BXLS’s receipt of the applicable change of control payment. We and BXLS also agree to negotiate in good faith a debt financing of up to $500.0 million upon mutual agreement. The Revenue Share Agreement contains customary representations, warranties and indemnities of us and BXLS, and customary covenants on our part.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Offerings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26, 2026, pursuant to our Registration Statement on Form S-3, which became effective in August 2024 (File No 333-281503), we issued and sold an aggregate of 5,750,000 shares of common stock (inclusive of 750,000 shares of common stock pursuant to the exercise in full of the underwriters’ option to purchase additional shares) at a public offering price of $70.00 per share (the “March 2026 Offering”). The aggregate net proceeds from the offering were $377.4 million after deducting underwriting discounts and commissions, and estimated offering expenses payable by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we sold 369,220 shares of common stock under our at the market offering program (“ATM Facility”) for gross proceeds of $29.7 million, less commissions and other offering expenses of $0.8 million, which sales took place during the three months ended March 31, 2026. No shares were sold under the ATM Facility during the three months ended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Our ability to generate product revenue sufficient to achieve profitability will depend heavily on the successful development and eventual commercialization of any programs we may develop. We generated a net loss of $160.0 million for the six months ended June 30, 2026. As of June 30, 2026, we had an accumulated deficit of $721.7 million. We expect to continue to incur significantly increased expenses for the foreseeable future if and as we continue to operate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macroeconomic environment is uncertain, and could be negatively affected by, among other things,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potential impacts on our clinical trials, supply chain, regulatory interactions, employees, third-party partners, suppliers, and vendors. The ultimate impact of global and domestic economic conditions on our business remains highly uncertain and will depend on future developments and factors that continue to evolve. As a result, we are subject to continuing risks and uncertainties and continue to closely monitor the impact of the current conditions on our business. For more information regarding these risks and uncertainties, see the section titled “Risk Factors” in this Quarterly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Collaboration, License and Service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information regarding our collaboration, license and service agreements, see Note 8—Other Significant Agreements to our condensed consolidated financial statements included in this Quarterly Report.</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Overview of Financial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from product sales and do not expect to generate any revenue from the sale of products for several years, if at all. If our development efforts for our programs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the development and research of our programs. These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developing and validating our manufacturing process for use in our preclinical studies and current and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continuing our current research programs and preclinical development of any programs we may identify, including under agreements with third parties, such as consultants and contractors;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funding research performed by third parties, including Paragon, that conduct research and development and preclinical or clinical activities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to acquire in-process research and development, with no alternative future use associated with asset acquisitions, such as the Option Agreements, and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under agreements with clinical trial sites and clinical research organizations (“CROs”) that conduct research and development activities on our behalf, including clinical trial execution, project management, data management and related outsourced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production of clinical supplies and preclinical materials, including fees paid to contract manufacturers;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personnel-related expenses, including salaries, bonuses and equity-based compensation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measure and recognize asset acquisitions or licenses to intellectual property that are not deemed to be business combinations based on the cost to acquire or license the asset or group of assets, which includes transaction costs. In an asset acquisition or license to intellectual property, the cost allocated to acquired in-process research and development, with no alternative future use is recognized as research and development expense on the acquisition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focus since inception has been the identification and development of our pipeline programs. Our research and development costs primarily consist of external costs, including CRO fees and fees paid to Paragon under the Option Agreements and the License Agreements. We do not separately track or segregate the amount of costs incurred under the Option Agreements due to the early-stage and discovery nature of the services. We do not allocate personnel-related costs by program because these resources are used and these costs are deployed across multiple programs under development, and, as such, are not separately classified.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research and development expenses will increase substantially for the foreseeable future as we continue to invest in research and development activities for our programs, and any potential future programs, including investments in clinical trials and manufacturing. The success of programs we may identify and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and successful completion of preclinical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Investigational New Drug applications (“INDs”) or comparable foreign applications that allow commencement of our planned clinical trials or future clinical trials for any programs we may develop;</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enrollment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positive results from our future clinical trials that support a finding of safety and effectiveness, acceptable PK profile, and an acceptable risk-benefit profile in the intended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establishment, maintenance, defense and enforcement of patent, trademark, trade secret and other intellectual property protection or regulatory exclusivity for any products we may develop;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a continued acceptable safety, tolerability and efficacy profile of any programs we may develop following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in the outcome of any of these variables with respect to the development of programs that we may identify could mean a significant change in the costs and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macroeconomic events or other reasons, we would be required to expend significant additional financial resources and time on the completion of clinical development. We may never obtain regulatory approval for any of our programs.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expenses, including salaries, bonuses, and equity-based compensation, for individuals in our executive, finance, legal, IT operations, human resources, business development, commercial and other administrative functions. Other significant general and administrative expenses include legal fees relating to corporate matters, professional fees for accounting, auditing, tax and administrative consulting services, insurance costs and recruiting costs. These costs relate to the operation of the business, unrelated to the research and development function, or any individual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substantially for the foreseeable future as we increase our headcount to support the expected growth in our research and development activities and the potential commercialization of our product candidates, if approved. We also expect to continue incurring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Merger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Merger transaction expenses represent costs incurred in connection with the Merger Agreement discussed above. These costs primarily consist of legal and SEC-related fees.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of interest income earned from our cash, cash equivalents, and marketable securities and amortization of investment discounts.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consists of interest accrued on our revenue share liability, which arises from our Revenue Share Agreement with BXLS.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(“NOL”) carryforwards and the vast majority of our tax credit carryforwards will not be realized.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U.S. federal NOL carryforwards of approximately $250.7 million, which may be available to reduce future taxable income and have an indefinite carryforward period but are limited in their usage to an annual deduction equal to 80% of annual taxable income. We also had state net operating loss carryforwards of approximately $94.3 million, which will begin to expire in 2043 for state tax purposes. As of December 31, 2025, we also had U.S. federal and research and development tax credit carryforwards of approximately $16.7 million, which may be available to reduce future tax liabilities. We also had California research and development credit carryforwards of approximately $2.9 million. Additionally, we had Massachusetts research and development credit carryforwards of approximately $1.7 million. The U.S. federal and Massachusetts research and development tax credit carryforwards expire at various dates beginning in 2042 and the California research and development tax credit carryforwards do not expire. We have recorded a full valuation allowance against our net deferred tax assets at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provision for state income taxes was $0.1 million and $0.2 million for the three and six months ended June 30, 2026, respectively. Our provision for state income taxes was $0.1 million and $0.2 million for the three and six months ended June 30, 2025, respectively.</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discussion regarding our financial condition and results of operations for the three and six months ended June 30, 2026 compared to the three and six months ended June 30, 2025 is presented below.</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Comparison of the Three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our consolidated statements of operations for the periods presented (in thousands):</w:t>
      </w:r>
    </w:p>
    <w:tbl>
      <w:tblPr>
        <w:tblW w:w="7424" w:type="dxa"/>
        <w:jc w:val="left"/>
        <w:tblInd w:w="0" w:type="dxa"/>
        <w:tblLayout w:type="fixed"/>
        <w:tblCellMar>
          <w:top w:w="28" w:type="dxa"/>
          <w:left w:w="28" w:type="dxa"/>
          <w:bottom w:w="28" w:type="dxa"/>
          <w:right w:w="28" w:type="dxa"/>
        </w:tblCellMar>
      </w:tblPr>
      <w:tblGrid>
        <w:gridCol w:w="2561"/>
        <w:gridCol w:w="146"/>
        <w:gridCol w:w="269"/>
        <w:gridCol w:w="941"/>
        <w:gridCol w:w="212"/>
        <w:gridCol w:w="186"/>
        <w:gridCol w:w="269"/>
        <w:gridCol w:w="941"/>
        <w:gridCol w:w="166"/>
        <w:gridCol w:w="146"/>
        <w:gridCol w:w="217"/>
        <w:gridCol w:w="759"/>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after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our research and development expenses incurred for the periods presented (in thousands):</w:t>
      </w:r>
    </w:p>
    <w:tbl>
      <w:tblPr>
        <w:tblW w:w="8558" w:type="dxa"/>
        <w:jc w:val="left"/>
        <w:tblInd w:w="0" w:type="dxa"/>
        <w:tblLayout w:type="fixed"/>
        <w:tblCellMar>
          <w:top w:w="28" w:type="dxa"/>
          <w:left w:w="28" w:type="dxa"/>
          <w:bottom w:w="28" w:type="dxa"/>
          <w:right w:w="28" w:type="dxa"/>
        </w:tblCellMar>
      </w:tblPr>
      <w:tblGrid>
        <w:gridCol w:w="5001"/>
        <w:gridCol w:w="146"/>
        <w:gridCol w:w="288"/>
        <w:gridCol w:w="923"/>
        <w:gridCol w:w="199"/>
        <w:gridCol w:w="199"/>
        <w:gridCol w:w="288"/>
        <w:gridCol w:w="923"/>
        <w:gridCol w:w="59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costs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Zumilokibart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APG990/APG279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APG333/APG273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APG531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External-discovery related costs and 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(excluding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67,301</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research and development expenses related to APG808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for the three months ended June 30, 2026 and 2025 were $67.3 million and $55.7 million, respectively. The increase of $11.6 million was primarily driven by the continued development of our zumilokibart program and higher personnel and equity-based compensation expenses associated with the growth in our research and development team.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 related to the zumilokibart program increased by $3.6 million in the three months ended June 30, 2026, compared to the three months ended June 30, 2025, primarily driven by an increase in clinical trial-related expenses associated with our APEX Phase 2 clinical trial. Research and development expenses related to the APG990/APG279 and APG333/APG273 programs decreased by $0.7 million and $0.8 million respectively, in the three months ended June 30, 2026, compared to the three months ended June 30, 2025, primarily due to decreases in preclinical research and development expenses. Research and development expense related to the APG531 program was $1.1 million for the three months ended June 30, 2026. No such expense was recorded in the three months ended June 30, 2025, as expenses were recorded to unallocated external-discovery related costs prior to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Personnel-related expenses increased by $4.2 million in the three months ended June 30, 2026, compared to the three months ended June 30, 2025, primarily driven by increased headcount. Equity-based compensation expense increased by $3.6 million over the same period, primarily driven by the amortization of equity awards granted between the third quarter of 2025 and the second quarter of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periods presented (in thousands):</w:t>
      </w:r>
    </w:p>
    <w:p>
      <w:pPr>
        <w:pStyle w:val="TextBody"/>
        <w:bidi w:val="0"/>
        <w:jc w:val="left"/>
        <w:rPr/>
      </w:pPr>
      <w:r>
        <w:rPr/>
        <w:t> </w:t>
      </w:r>
    </w:p>
    <w:tbl>
      <w:tblPr>
        <w:tblW w:w="8158" w:type="dxa"/>
        <w:jc w:val="left"/>
        <w:tblInd w:w="0" w:type="dxa"/>
        <w:tblLayout w:type="fixed"/>
        <w:tblCellMar>
          <w:top w:w="28" w:type="dxa"/>
          <w:left w:w="28" w:type="dxa"/>
          <w:bottom w:w="28" w:type="dxa"/>
          <w:right w:w="28" w:type="dxa"/>
        </w:tblCellMar>
      </w:tblPr>
      <w:tblGrid>
        <w:gridCol w:w="4801"/>
        <w:gridCol w:w="146"/>
        <w:gridCol w:w="288"/>
        <w:gridCol w:w="923"/>
        <w:gridCol w:w="199"/>
        <w:gridCol w:w="199"/>
        <w:gridCol w:w="288"/>
        <w:gridCol w:w="923"/>
        <w:gridCol w:w="3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(excluding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for the three months ended June 30, 2026 and 2025 were $24.3 million and $17.5 million, respectively. The increase of $6.9 million was primarily due to increases in personnel-related expenses of $2.0 million, driven by increased headcount and equity-based compensation of $1.7 million, primarily driven by the amortization of equity awards granted between the third quarter of 2025 and the second quarter of 2026. Additionally, other expenses increased by $3.3 million, primarily due to increases in IT and other employee-related expenses.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Merger Transaction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Merger transaction expense for the three months ended June 30, 2026 was $4.4 million, primarily related to legal costs and SEC fees incurred in connection with the Merger Agreement.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increased $3.1 million for the three months ended June 30, 2026, compared to the three months ended June 30, 2025, primarily related to interest income earned on our cash, cash equivalents and marketable securities, partially offset by non-cash interest expense associated with our Revenue Share Agreement entered into during the second quarter of 2026.</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Comparison of the Six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our consolidated statements of operations for the periods presented (in thousands):</w:t>
      </w:r>
    </w:p>
    <w:tbl>
      <w:tblPr>
        <w:tblW w:w="7125" w:type="dxa"/>
        <w:jc w:val="left"/>
        <w:tblInd w:w="0" w:type="dxa"/>
        <w:tblLayout w:type="fixed"/>
        <w:tblCellMar>
          <w:top w:w="28" w:type="dxa"/>
          <w:left w:w="28" w:type="dxa"/>
          <w:bottom w:w="28" w:type="dxa"/>
          <w:right w:w="28" w:type="dxa"/>
        </w:tblCellMar>
      </w:tblPr>
      <w:tblGrid>
        <w:gridCol w:w="2561"/>
        <w:gridCol w:w="146"/>
        <w:gridCol w:w="220"/>
        <w:gridCol w:w="877"/>
        <w:gridCol w:w="173"/>
        <w:gridCol w:w="152"/>
        <w:gridCol w:w="220"/>
        <w:gridCol w:w="877"/>
        <w:gridCol w:w="166"/>
        <w:gridCol w:w="146"/>
        <w:gridCol w:w="217"/>
        <w:gridCol w:w="759"/>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178,776</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after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(159,965</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our research and development expenses incurred for the periods presented (in thousands):</w:t>
      </w:r>
    </w:p>
    <w:tbl>
      <w:tblPr>
        <w:tblW w:w="8256" w:type="dxa"/>
        <w:jc w:val="left"/>
        <w:tblInd w:w="0" w:type="dxa"/>
        <w:tblLayout w:type="fixed"/>
        <w:tblCellMar>
          <w:top w:w="28" w:type="dxa"/>
          <w:left w:w="28" w:type="dxa"/>
          <w:bottom w:w="28" w:type="dxa"/>
          <w:right w:w="28" w:type="dxa"/>
        </w:tblCellMar>
      </w:tblPr>
      <w:tblGrid>
        <w:gridCol w:w="5001"/>
        <w:gridCol w:w="146"/>
        <w:gridCol w:w="233"/>
        <w:gridCol w:w="865"/>
        <w:gridCol w:w="161"/>
        <w:gridCol w:w="161"/>
        <w:gridCol w:w="233"/>
        <w:gridCol w:w="865"/>
        <w:gridCol w:w="59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costs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Zumilokibart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APG990/APG279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APG333/APG273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APG531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External-discovery related costs and 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(excluding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128,120</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research and development expenses related to APG808</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for the six months ended June 30, 2026 and 2025 were $128.1 million and $102.1 million, respectively. The increase of $26.0 million was primarily driven by the continued development of our zumilokibart and APG990/APG279 programs, increased external-discovery related costs, and higher personnel and equity-based compensation expenses associated with the growth in our research and development team, partially offset by decreases in expenses related to the APG333/APG273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 related to the zumilokibart program increased by $8.6 million in the six months ended June 30, 2026, compared to the six months ended June 30, 2025, primarily driven by an increase in clinical trial-related expenses associated with our APEX Phase 2 clinical trial. Research and development expense related to the APG990/APG279 program increased by $1.6 million in the six months ended June 30, 2026, compared to the six months ended June 30, 2025, primarily due to an increase in clinical manufacturing activities and clinical trial expenses, partially offset by a decrease in preclinical research and development expenses. Research and development expense related to the APG333/APG273 program decreased by $3.0 million in the six months ended June 30, 2026, compared to the six months ended June 30, 2025, primarily due to a reduction in preclinical research and development expenses and clinical trial related expenses. Research and development expense related to the APG531 program was $2.9 million for the six months ended June 30, 2026. No such expense was recorded in the six months ended June 30, 2025, as expenses were recorded as unallocated external-discovery related costs prior to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External-discovery related costs and other expenses increased by $1.7 million in the six months ended June 30, 2026, compared to the six months ended June 30, 2025, primarily driven by an increase in professional service fees, partially offset by a decrease in pre-clinical research and development expenses. Additionally, personnel-related expenses and equity-based compensation increased by $7.4 million and $6.7 million, respectively, in the six months ended June 30, 2026, compared to the six months ended June 30, 2025, primarily due to increased headcount and an increase in the fair value of equity awards granted.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periods presented (in thousands):</w:t>
      </w:r>
    </w:p>
    <w:tbl>
      <w:tblPr>
        <w:tblW w:w="7856" w:type="dxa"/>
        <w:jc w:val="left"/>
        <w:tblInd w:w="0" w:type="dxa"/>
        <w:tblLayout w:type="fixed"/>
        <w:tblCellMar>
          <w:top w:w="28" w:type="dxa"/>
          <w:left w:w="28" w:type="dxa"/>
          <w:bottom w:w="28" w:type="dxa"/>
          <w:right w:w="28" w:type="dxa"/>
        </w:tblCellMar>
      </w:tblPr>
      <w:tblGrid>
        <w:gridCol w:w="4801"/>
        <w:gridCol w:w="146"/>
        <w:gridCol w:w="257"/>
        <w:gridCol w:w="824"/>
        <w:gridCol w:w="178"/>
        <w:gridCol w:w="178"/>
        <w:gridCol w:w="257"/>
        <w:gridCol w:w="824"/>
        <w:gridCol w:w="3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(excluding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and administrative expenses for the six months ended June 30, 2026 and 2025 were $46.3 million and $34.2 million, respectively. The increase of $12.1 million was primarily due to increases in equity-based compensation and personnel-related expenses of $4.6 million and $4.2 million, respectively, primarily driven by increased headcount and an increase in the fair value of equity awards granted. Additionally, other expenses increased by $3.4 million, primarily driven by increases in IT, marketing and other employee related expenses.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Merger Transaction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Merger transaction expense for the six months ended June 30, 2026 was $4.4 million, primarily related to legal costs and SEC fees incurred in connection with the Merger Agreement.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increased $4.0 million for the six months ended June 30, 2026, compared to the six months ended June 30, 2025, primarily related to interest on our cash, cash equivalents and marketable securities, partially offset by non-cash interest expense associated with our Revenue Share Agreement entered into during the second quarter of 2026.</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 xml:space="preserve">Liquidity and Capital Resources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18, 2026, we entered into the Merger Agreement. Pursuant to the Merger Agreement, we have agreed to various covenants, including, among others, agreements to conduct our business in the ordinary course of business as was being conducted prior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date of the Merger Agreement. Outside of limited exceptions, we may not take, authorize, or agree or commit to take, enumerated actions without Parent’s consent, including, but not limited to: (i) acquiring businesses and disposing of significant assets; (ii) incurring capital expenditures above specified thresholds; (iii) issuing equity; (iv) incurring indebtedness; and (v) repurchasing or paying dividends on shares. We do not believe these restrictions will prevent us from being able to fund our operations, working capital needs or capital expenditure requirements. We could be required to pay Parent a termination fee of $381,273,716 if the Merger Agreement is terminated under specific circumstances described in the Merger Agreement. In addition, we expect to incur costs and expenses in connection with the Merger, a portion of which may be payable regardless of whether the Merger is completed. Payment of any such fees, costs or expenses could require us to use available cash that would otherwise be available for general corporate purposes or other uses.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incurred significant losses. We have not yet commercialized any of our programs, which are in various phases of early-stage and late-stage development, and we do not expect to generate revenue from sales of any of our programs for several years, if at all. To date, we have financed our operations from the proceeds from the issuance of preferred units and the sale of common stock in our initial public offering (“IPO”), our March 2024 Offering (as defined below), our ATM Facility, our October 2025 Offering (as defined below), our March 2026 Offering (as defined below) and our Revenue Share Agreement. As of June 30, 2026, we had cash and cash equivalents of $105.6 million, marketable securities of $866.4 million and long-term marketable securities of $321.9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our IPO, we received gross proceeds of $169.0 million from the sales of our preferred units. In connection with our IPO in July 2023, we issued and sold an aggregate of 20,297,500 shares of common stock (inclusive of 2,647,500 shares of common stock pursuant to the exercise in full of the underwriters’ option to purchase additional shares) at a price of $17.00 per share for net proceeds of $315.4 million, after deducting underwriting discounts and commissions and other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we issued and sold an aggregate of 7,790,321 shares of common stock (inclusive of 1,016,128 shares pursuant to the exercise in full of the underwriters’ option to purchase additional shares) at a public offering price of $62.00 per share, for net proceeds of $450.0 million after deducting underwriting discounts and commissions, and other offering expenses (the “March 2024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2024, we entered into an Open Market Sale Agreement (the “Sale Agreement”) with Jefferies LLC (the “Sales Agent”), pursuant to which we may offer and sell shares of common stock up to a maximum aggregate offering price of $300.0 million, from time to time, through an ATM Facility. During the year ended December 31, 2024, we sold 926,049 shares of common stock under the ATM Facility for gross proceeds of $44.9 million, less commissions and other offering expenses of $1.4 million. During the year ended December 31, 2025, we sold 1,175,701 shares of common stock under the ATM Facility for gross proceeds of $67.6 million, less commissions and other offering expenses of $2.0 million. During the three months ended June 30, 2026, we sold 369,220 shares of common stock under the ATM Facility for gross proceeds of $29.7 million, less commissions and other offering expenses of $0.8 million. As of June 30, 2026, $157.8 million remained available for sale under the Sale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2025, we issued and sold an aggregate of 8,048,782 shares of common stock (inclusive of 1,097,561 shares of common stock pursuant to the exercise in full of the underwriters’ option to purchase additional shares) at a public offering price of $41.00 per share, and, in lieu of common stock to certain investors, pre-funded warrants to purchase up to 365,853 shares of common stock at a public offering price of $40.99999 per pre-funded warrant (the “October 2025 Offering”). The pre-funded warrants have an exercise price of $0.00001 per share and are exercisable immediately. The aggregate net proceeds from the offering were $324.1 million after deducting underwriting discounts and commissions and estimated offering expenses payable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2026, we issued and sold an aggregate of 5,750,000 shares of common stock (inclusive of 750,000 shares of common stock pursuant to the exercise in full of the underwriters’ option to purchase additional shares) at a public offering price of $70.00 per share (the “March 2026 Offering”). The aggregate net proceeds from the offering were $377.4 million after deducting underwriting discounts and commissions and estimated offering expenses payable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2026, we entered into the Revenue Share Agreement with BXLS, pursuant to which, in exchange for an upfront payment of $100.0 million, BXLS purchased the right to receive tiered Revenue Share Payments with respect to annual worldwide Net Sales of zumilokibart.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generated any revenue from product sales. We do not expect to generate revenue from product sales unless and until we successfully complete preclinical and clinical development of, receive regulatory approval for, and commercialize a product candidate and we do not know when that will occur, if at all. We expect our expenses to increase substantially in connection with our ongoing activities, particularly as we advance the preclinical and clinical activities. In addition, if we obtain regulatory approval for any product candidates, we expect to incur significant expenses related to product sales, marketing, and distribution to the extent that such sales, marketing and distribution are not the responsibility of potential collaborators. We expect to incur additional costs associated with operating as a public company. The timing and amount of our operating expenditures will depend largely on the factors set out above. For more information, see the section titled “Risk Factors—Risks Related to Our Limited Operating History, Financial Position and Capital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funding requirements and timing and amount of our operating expenditures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of progress in the development of our zumilokibart, APG279, APG273, APG990, APG333, APG531 and APG808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results and costs of preclinical studies and clinical trials for any other current and future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characteristics of programs and technologies that we develop or may in-license;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potential future commercialization activities, including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necessary to obtain regulatory approvals, if any, for any approved products in the United States and other jurisdictions, and the costs of post-marketing studies that could be required by regulatory authorities in jurisdictions where approval is obtained;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including claims of infringement, misappropriation or other violation of third-party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continuation of our existing licensing arrangements and entry into new collaborations and licensing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we incur in maintaining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hiring additional clinical, quality control, manufacturing and other scientific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adding operational, financial and management information systems and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global macroeconomic conditions, including inflation, slower growth or recession, new or increased tariffs and other barriers to trade, geopolitical conflict, changes to fiscal and monetary policy or government budget dynamics (particularly in the pharmaceutical and biotech areas), government shutdowns, volatility in financial markets and other challenges in the global economy;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laboratory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 including entering into licensing or collaboration arrangements for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Identifying potential programs and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may need to obtain additional funds to achieve our business objectives.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committed external sources of funds. Although we have entered into the Revenue Share Agreement, additional milestone payments under the Revenue Share Agreement are subject to the satisfaction of conditions, which may not be met. And, adequate additional financing may not be available to us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we raise additional capital through the sale of equity or convertible debt securities, our stockholders’ ownership interests could be diluted, and the terms of these securities may include liquidation or other preferences that could adversely affect our stockholders’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debt financing and preferred equity financing, if available, may involve agreements that include covenants limiting or restricting our ability to take specific actions, such as incurring debt, making capital expenditures or declaring dividends, and may require the issuance of warrants, which could potentially dilute our stockholders’ ownership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raise additional funds through strategic collaborations, licensing arrangements, royalty financings or other collaborations with third parties, we may have to relinquish valuable rights to our technologies, future revenue streams, research programs, or product candidates or grant licenses on terms that may not be favorable to us. Any additional fundraising efforts may divert our management from their day-to-day activities, which may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raise additional funds when needed or on acceptable terms, we may be required to delay, limit, suspend, or terminate our product development programs or any future commercialization efforts or grant rights to develop and market product candidates to third parties that we would otherwise prefer to develop and market ourselves.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$105.6 million of cash and cash equivalents, $866.4 million of marketable securities and $321.9 million of long-term marketable securities. Based on our current operating plan, as of the date of this Quarterly Report, we estimate that our existing cash, cash equivalents, marketable securities, and long-term marketable securities will be sufficient to enable us to fund our operating expenses and capital expenditure requirements through at least the next 12 months following the issuance of our consolidated financial statements included elsewhere in this Quarterly Report. We have based this estimate on assumptions that may prove to be wrong, and we could exhaust our available capital resources sooner than we expect.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provides information regarding our cash flows for the periods presented (in thousands):</w:t>
      </w:r>
    </w:p>
    <w:tbl>
      <w:tblPr>
        <w:tblW w:w="8562" w:type="dxa"/>
        <w:jc w:val="left"/>
        <w:tblInd w:w="0" w:type="dxa"/>
        <w:tblLayout w:type="fixed"/>
        <w:tblCellMar>
          <w:top w:w="28" w:type="dxa"/>
          <w:left w:w="28" w:type="dxa"/>
          <w:bottom w:w="28" w:type="dxa"/>
          <w:right w:w="28" w:type="dxa"/>
        </w:tblCellMar>
      </w:tblPr>
      <w:tblGrid>
        <w:gridCol w:w="5686"/>
        <w:gridCol w:w="146"/>
        <w:gridCol w:w="220"/>
        <w:gridCol w:w="877"/>
        <w:gridCol w:w="173"/>
        <w:gridCol w:w="152"/>
        <w:gridCol w:w="220"/>
        <w:gridCol w:w="877"/>
        <w:gridCol w:w="21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(417,212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518,184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resulted primarily from our net losses adjusted for non-cash charges and changes in components of operating assets and liabilities, which are generally attributable to timing of payments, and the related effect on certain account balances, operational and strategic decisions and contracts to which we may be a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operating activities used $127.0 million of cash, primarily due to a net loss of $160.0 million, amortization of discounts on marketable securities of $3.3 million, and net changes in operating assets and liabilities of $1.9 million. This was partially offset by non-cash charges of $33.8 million, $2.0 million, and $1.6 million for equity-based compensation, non-cash lease expense, and non-cash interest expense,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2025, operating activities used $110.5 million of cash, primarily due to a net loss of $121.4 million, net changes in our operating assets and liabilities of $9.8 million and amortization of discounts on marketable securities of $4.1 million. This was partially offset by non-cash charges of $22.5 million and $1.8 million for equity-based compensation and lease expense, respectively.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(used in)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net cash used in investing activities was $417.2 million, primarily related to the $736.0 million purchase of marketable securities. This was partially offset by $318.8 million in maturities of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2025, net cash provided by investing activities was $91.1 million primarily related to $241.8 million in maturities of marketable securities. This was partially offset by the $145.6 million purchase of marketable securities and $5.1 million purchase of property and equipment.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financing activities provided $518.2 million of cash, primarily due to $377.4 million of net proceeds from the issuance of common stock, $97.8 million of proceeds from the Revenue Share Agreement with BXLS, $28.9 million of net proceeds from our ATM Facility, and $14.1 million of proceeds from the exercise of stock options and employee stock purchase plan purchases.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2025, financing activities provided $1.8 million of cash, primarily related to the exercise of stock options.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CROs, contract manufacturing organizations (“CMOs”) and other third parties for preclinical research studies and testing, clinical trials, manufacturing and other services. As of June 30, 2026, payments due upon cancellation consist only of payments for services provided and expenses incurred up to the date of cancellation, including non-cancelable obligations of our service providers and, in some cases, wind-down costs, or an exit fee. The exact amounts of such obligations are dependent on the timing of termination and the terms of the associated agreement. Accordingly, these payments are not disclosed as the amount and timing of such payments are not known.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agreements to license intellectual property include potential milestone payments that are dependent upon the development of products using the intellectual property licensed under the agreements and contingent upon the achievement of specific development and clinical milestones. As of June 30, 2026, we have incurred $17.0 million of the maximum aggregate potential milestone payments. We are also obligated to pay royalties to (i) Paragon at a royalty rate of a low single-digit percentage based on net sales of any products under the License Agreements, once commercialized and (ii) WuXi Biologics at a royalty rate of a fraction of a single digit percentage of global net sales of WuXi Biologics Licensed Products manufactured by a third-party manufacturer.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any off-balance sheet arrangements that are material or reasonably likely to become material to our financial condition or results of operations.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define our critical accounting policies as those accounting principles generally accepted in the United States of America that are most critical to the judgments and estimates used in the preparation of our condensed consolidated financial statements. While our significant accounting policies are described in more detail in Note 2 to our condensed consolidated financial statements appearing elsewhere in this Quarterly Report, we believe that our most critical accounting policies are those relating to Research and Development Expenses, which are described under the heading “Management’s Discussion and Analysis of Financial Condition and Results of Operations – Critical Accounting Policies and Significant Judgment and Estimates” in our Annual Report on Form 10-K. There have been no material changes to our critical accounting policies from those described in the Annual Report on Form 10-K apart from the estimates for our Revenue Share Liability as described below.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Share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share liability represents amounts received from BXLS under the Revenue Share Agreement, which we account for as a debt financing under ASC 470. It is initially recorded net of debt issuance costs and subsequently measured using the effective interest method, with the carrying amount increasing for non-cash interest expense and decreasing as Revenue Share Payments are made to BXLS. Our estimates of future Revenue Share Payments involve a number of judgments and assumptions, including but not limited to the timing of regulatory approval and commercial launch of zumilokibart, projected net product sales, and market penetration. Key assumptions are reviewed at each reporting date and adjusted as needed. Changes in any one of these assumptions could materially impact the effective interest rate and carrying value of the liability, as well as the amount of non-cash interest expense recognized in future periods.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reviewed all recently issued accounting standards and have determined that, other than as disclosed in Note 2 to our condensed consolidated financial statements included elsewhere in this Quarterly Report, such standards are not expected to have a material impact on our consolidated financial statements or do not otherwise apply to our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83"/>
        <w:jc w:val="both"/>
        <w:rPr>
          <w:rFonts w:ascii="Times New Roman" w:hAnsi="Times New Roman"/>
          <w:color w:val="000000"/>
          <w:sz w:val="20"/>
        </w:rPr>
      </w:pPr>
      <w:bookmarkStart w:id="12" w:name="item_3_quantitative_and_qualitative"/>
      <w:bookmarkEnd w:id="12"/>
      <w:r>
        <w:rPr>
          <w:rFonts w:ascii="Times New Roman" w:hAnsi="Times New Roman"/>
          <w:color w:val="000000"/>
          <w:sz w:val="20"/>
        </w:rPr>
        <w:t>Item 3. Quantitative and Qualitative Disclosures About Market Risk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related to changes in interest rates. We had cash, cash equivalents, short-term and long-term marketable securities of $1.3 billion as of June 30, 2026, which consisted primarily of U.S. Treasury Securities, Commercial Paper, U.S. Government Bonds, and Corporate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 and intermediate-term duration, according to our audit committee-approved investment policy. Our investments are subject to interest rate risk and could fall in value if market interest rates increase. Our primary exposure to market risk is interest income volatility, which is sensitive to changes in the general level of interest rates; however due to the low risk profiles of our investments, we do not anticipate a significant exposure to interest rate risk on the fair market value of our investments. We believe the effect of a hypothetical 10% change in market interest rates would not have had a material impact on our historical consolidated financial statements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majority of our transactions occur in U.S. dollars. However, we do have certain transactions that are denominated in currencies other than the U.S. dollar, and we therefore are subject to foreign exchange risk. The fluctuation in the value of the U.S. dollar against other currencies affects the reported amounts of expenses, assets and liabilities primarily associated with a limited number of clinical and manufacturing activities. Due to the uncertain timing of expected payments in foreign currencies, we do not utilize any forward exchange contracts. All foreign transactions settle on the applicable spot exchange basis at the time such payments or transactions are made. We believe the effect of a hypothetical 10% change in foreign currency exchange rates applicable to our business would not have had a material impact on our historical consolidated financial statements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do not believe that inflation has had a material effect on our business, financial position or results of operations to date, we may experience some effect due to an impact on the costs to conduct clinical trials, manufacturing and supply costs, labor costs, and other operational costs. Inflationary costs could adversely affect our business, financial condition and results of operations.</w:t>
      </w:r>
    </w:p>
    <w:p>
      <w:pPr>
        <w:pStyle w:val="Heading1"/>
        <w:bidi w:val="0"/>
        <w:spacing w:before="360" w:after="283"/>
        <w:jc w:val="both"/>
        <w:rPr>
          <w:rFonts w:ascii="Times New Roman" w:hAnsi="Times New Roman"/>
          <w:color w:val="000000"/>
          <w:sz w:val="20"/>
        </w:rPr>
      </w:pPr>
      <w:bookmarkStart w:id="13" w:name="item_4_controls_and_procedures"/>
      <w:bookmarkEnd w:id="13"/>
      <w:r>
        <w:rPr>
          <w:rFonts w:ascii="Times New Roman" w:hAnsi="Times New Roman"/>
          <w:color w:val="000000"/>
          <w:sz w:val="20"/>
        </w:rPr>
        <w:t>Item 4. Controls and Procedures</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evaluated, as of the end of the period covered by this Quarterly Report, the effectiveness of our disclosure controls and procedures. Based on this evaluation of our disclosure controls and procedures as of June 30, 2026, our principal executive officer and principal financial officer concluded that our disclosure controls and procedures as of such date were effective at the reasonable assurance level. The term “disclosure controls and procedures,” as defined in Rules 13a</w:t>
        <w:noBreakHyphen/>
        <w:t>15(e) and 15d</w:t>
        <w:noBreakHyphen/>
        <w:t>15(e) under the Exchange Act (as defined below) means controls and other procedures of a company that are designed to ensure that information required to be disclosed by a company in the reports that it files or submits under the Exchange Act of 1934, as amended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 - OTHER INFORMATION</w:t>
      </w:r>
    </w:p>
    <w:p>
      <w:pPr>
        <w:pStyle w:val="Heading1"/>
        <w:bidi w:val="0"/>
        <w:spacing w:before="360" w:after="283"/>
        <w:jc w:val="both"/>
        <w:rPr>
          <w:rFonts w:ascii="Times New Roman" w:hAnsi="Times New Roman"/>
          <w:color w:val="000000"/>
          <w:sz w:val="20"/>
        </w:rPr>
      </w:pPr>
      <w:bookmarkStart w:id="15" w:name="item_1_legal_proceedings"/>
      <w:bookmarkEnd w:id="15"/>
      <w:r>
        <w:rPr>
          <w:rFonts w:ascii="Times New Roman" w:hAnsi="Times New Roman"/>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pStyle w:val="Heading1"/>
        <w:bidi w:val="0"/>
        <w:spacing w:before="360" w:after="283"/>
        <w:jc w:val="both"/>
        <w:rPr>
          <w:rFonts w:ascii="Times New Roman" w:hAnsi="Times New Roman"/>
          <w:color w:val="000000"/>
          <w:sz w:val="20"/>
        </w:rPr>
      </w:pPr>
      <w:bookmarkStart w:id="16" w:name="item_1a_risk_factors"/>
      <w:bookmarkEnd w:id="16"/>
      <w:r>
        <w:rPr>
          <w:rFonts w:ascii="Times New Roman" w:hAnsi="Times New Roman"/>
          <w:color w:val="000000"/>
          <w:sz w:val="20"/>
        </w:rPr>
        <w:t>Item 1A.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Before you decide to invest in our common stock, you should consider carefully the risks described below, together with the other information contained in this Quarterly Report, including “Management’s Discussion and Analysis of Financial Condition and Results of Operations” and our unaudited condensed financial statements and related notes. We believe the risks described below are the risks that are material to us as of the date of this Quarterly Report.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If any of the following risks actually occur, our business, financial condition, results of operations and future growth prospects could be materially and adversely affected. In these circumstances, the market price of our common stock could decline, and you may lose all or part of your investment.</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 Factor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summary of the material risks to our business, our operations and an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in its entirety before making investment decisions regarding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complete the Merger within the time frame we anticipate or at all, which could have an adverse effect on our</w:t>
        <w:br/>
        <w:t>business, financial results and/or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the Merger Agreement is in effect, we are subject to restrictions on our business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biotechnology company with a limited operating history, we are currently conducting clinical trials, and we have no products approved for commercial sale, which may make it difficult for you to evaluate our current business and likelihood of success and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require substantial additional capital to finance our operations in the future. If we are unable to raise such capital when needed, or on acceptable terms, we may be forced to delay, reduce and/or eliminate one or more of our development programs or future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losses since inception, and we expect to incur significant losses for the foreseeable future and may not be able to achieve or sustain profitability in the future. We have no products approved for sale, have not generated any revenue from our programs and may never generate revenue or become profitable.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competition from entities that have developed or may develop programs for the diseases addressed by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programs are in clinical and preclinical stages of development and may fail in development or suffer delays that materially and adversely affect their commercial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substantially dependent on the success of our programs, zumilokibart (APG777), APG279, APG273, APG990, APG333, APG531 and APG808, and our ongoing and anticipated clinical trials of such programs may not be 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approach to the discovery and development of our programs has not yet led to regulatory approval, and if approval is ultimately achieved, we may not be successful in our efforts to build a pipeline of programs with commercial value.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and clinical development involves a lengthy and expensive process that is subject to delays and with uncertain outcomes, and results of earlier studies and trials may not be predictive of future clinical trial results.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encounter difficulties enrolling patients in our future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collaborations and licensing arrangements with third parties. If we are unable to maintain these collaborations or licensing arrangements, or if these collaborations or licensing arrangements are not successful, our business could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rely, and expect to rely in the future, on the use of manufacturing suites in third-party facilities or on third parties to manufacture our products,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our patents and other proprietary rights is uncertain, exposing us to the possible loss of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patent infringement claims or may need to file claims to protect our intellectual property, which could result in substantial costs and liability and prevent us from commercializing our potential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approval processes of the FDA and other comparable foreign regulatory authorities are lengthy, time-consuming and inherently unpredictable.</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the Pending Merger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complete the Merger within the time frame we anticipate or at all, which could have an adverse effect on our business, financial results and/or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completion of the pending Merger is conditioned upon (i) the adoption of the Merger Agreement and approval of the Merger by the holders of at least a majority of the outstanding shares of our voting common stock, (ii) for so long as at least 6,061,821 shares of our non-voting common stock remain issued and outstanding, the adoption of the Merger Agreement and approval of the Merger by at least a majority of the outstanding shares of our non-voting common stock, (iii) the expiration or earlier termination of any waiting period (and any extension thereof) under the HSR Act and the filings specified on the Company Disclosure Schedule to the Merger Agreement (which will also include filings to be made to the U.K. Competition and Markets Authority under the U.K. Enterprise Act of 2002 or the European Commission under Article 22 of the EU Merger Regulation, in each case, if such authority indicates in writing to AbbVie that it has decided to formally investigate the Merger or has received a referral request, as applicable) and any voluntary commitment or agreement with the FTC, DOJ or any other governmental body not to consummate the Merger, (iv) the absence of legal restraints preventing or otherwise making illegal the consummation of the Merger, (v) the accuracy of representations and warranties that we made and compliance by us with covenants contained in the Merger Agreement, subject to qualifications, (vi) there not having been a “Material Adverse Effect” (as defined in the Merger Agreement) with respect to us since the date of the Merger Agreement that is continuing, and (vii) other customary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in the Proxy Statement, we and Parent each filed a notification of the proposed Merger with the FTC and DOJ under the HSR Act on July 6, 2026. On August 5, 2026, the applicable waiting period under the HSR Act expired. The expiration of the waiting period under the HSR Act satisfies one of the conditions to the completion of the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as previously disclosed in the Proxy Statement, on July 7, 2026, Parent filed a notification under the German Act against Restraints of Competition 1957, as amended, with the FCO. As disclosed in the Proxy Supplement, Parent obtained from the FCO unconditional clearance for the Merger in Germany. In addition, as previously disclosed in the Proxy Statement, on July 7, 2026, Parent filed a notification under the Austrian Cartel Act 2005, as amended, with the Austrian Federal Competition Authority, for which the Phase 1 statutory review period expired on August 4, 2026. Accordingly, the closing conditions relating to the receipt of Regulatory Approvals with respect to the German Act against Restraints of Competition 1957, as amended, and the Austrian Cartel Act 2005, as amended, have been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in the Proxy Supplement, on July 27, 2026, Parent also filed a notification under the Australian Competition and Consumer Act 2010, as amended, with the ACCC, for which the Phase 1 statutory review period will expire on September 7, 2026, unless such period is terminated earlier by the ACCC. Completion of the Merger remains subject to the satisfaction or waiver of other customary closing conditions described in the Merger Agreement, including the receipt of any clearance, consent or affirmative approval applicable to the filings specified on the Company Disclosure Schedule to the Merger Agreement.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Merger Agreement may be terminated under specified circumstances, including, but not limited to, a change in the recommendation of our board of directors or a termination of the Merger Agreement by us to enter into an agreement for a “Superior Proposal,” as defined in the Merger Agreement. We could also be required to pay Parent a termination fee of $381,273,716 if the Merger Agreement is terminated under specific circumstances described in the Merger Agreement. As a result, we cannot assure you that the Merger will be completed, or that, if completed, it will be exactly on the terms set forth in the Merger Agreement or within the expected time frame.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transaction is not completed within the expected time frame or at all, we may be subject to a number of material risks. The price of our common stock may decline to the extent that current market prices of our common stock reflect a market assumption that the transaction will be completed. The failure to complete the transaction also may result in negative publicity and negatively affect our relationship with our stockholders, employees, collaborators, regulators and other business partners. We may also be required to devote significant time and resources to litigation related to any failure to complete the Merger or related to any enforcement proceeding commenced against us to perform our obligations under the Merger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pendency of the Merger could adversely affect our business, financial results and/or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complete the Merger could cause substantial disruptions in, and create uncertainty surrounding, our business, which may materially adversely affect our results of operation and our business. Uncertainty as to whether the transaction will be completed may affect our ability to recruit prospective employees or to retain and motivate existing employees. Employee retention may be particularly challenging while the transaction is pending because employees may experience uncertainty about their roles following consummation of the transaction. A substantial amount of our management’s and employees’ attention is being directed toward the completion of the transaction and thus is being diverted from our day-to-day operations. Uncertainty as to our future could adversely affect our business and our relationships with vendors, manufacturers, regulators and other business partners. Changes to or termination of existing business relationships could adversely affect our results of operations and financial condition, as well as the market price of our common stock. The adverse effects of the pendency of the transaction could be exacerbated by any delays in the completion of the transaction or termination of the Merger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While the Merger Agreement is in effect, we are subject to restrictions on our business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the Merger Agreement is in effect, we are subject to restrictions on our business activities, generally requiring us to conduct our business in the ordinary course and subjecting us to a variety of specified limitations absent Parent’s prior consent. These limitations include, among other things, restrictions on our ability to incur additional indebtedness, issue additional shares of our common stock outside of existing equity plans, repurchase shares, declare or pay dividends, acquire or dispose of assets or businesses (subject to limited exceptions), enter into or amend contracts and make capital expenditures above specified thresholds. These restrictions could prevent us from pursuing strategic business opportunities, taking actions with respect to our business that we may consider advantageous and responding effectively and/or timely to competitive pressures and industry developments, and may as a result materially and adversely affect our business, results of operations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 specified instances, the Merger Agreement requires us to pay a termination fee to Parent, which could require us to use available cash that would have otherwise been available for general corporate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Merger Agreement, we may be required to pay Parent a termination fee of $381,273,716 if the Merger Agreement is terminated under specific circumstances described in the Merger Agreement. If the Merger Agreement is terminated under such circumstances, the termination fee we may be required to pay under the Merger Agreement may require us to use available cash that would have otherwise been available for general corporate purposes and other uses. For these and other reasons, termination of the Merger Agreement could materially and adversely affect our business operations and financial condition, which in turn would materially and adversely affect the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incurred, and will continue to incur, direct and indirect costs as a result of the pending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and will continue to incur, significant costs and expenses, including fees for professional services and other transaction costs, in connection with the pending transaction. We must pay substantially all of these costs and expenses whether or not the transaction is completed. There are a number of factors beyond our control that could affect the total amount or the timing of these costs and expenses.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Additional lawsuits may be filed against us and the members of our board of directors arising out of the Merger, which may delay or prevent the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Putative stockholder complaints, including stockholder class action complaints, and other complaints may be filed against us, our board of directors, Parent, AbbVie, AbbVie’s board of directors and others in connection with the transactions contemplated by the Merger Agreement. As disclosed in the Proxy Supplement filed on August 3, 2026, we have received demand letters from purported stockholders relating to disclosures made in the Proxy Statement. The outcome of litigation is inherently uncertain, and we may not be successful in defending against any such future claims. Additional lawsuits that may be filed against us, our board of directors, Parent, AbbVie, AbbVie’s board of directors could delay or prevent the Merger, divert the attention of our management and employees from our day-to-day business and otherwise adversely affect us financially.</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Our Limited Operating History, Financial Position and Capital Requirements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 clinical stage biotechnology company with a limited operating history, we are currently conducting clinical trials, and we have no products approved for commercial sale, which may make it difficult for you to evaluate our current business and likelihood of success and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biotechnology company with limited operating history. Since our inception in 2022, we have incurred significant operating losses and have utilized substantially all of our resources to date in-licensing and developing our programs, organizing and staffing our company and providing other general and administrative support for our operations. We have limited experience as a company in initiating, conducting or completing clinical trials. In part because of this limited experience, we cannot be certain that our planned clinical trials will begin or be completed on time, if at all, or that our ongoing clinical trials will be completed on time, if at all. In addition, we have not yet demonstrated an ability to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our business grows, we may encounter unforeseen expenses, restrictions, difficulties, complications, delays and other known and unknown factors. We continue to work to transition from a company with an early research and development focus to a company capable of supporting larger scale clinical trials and eventually commercial activities. We may not be successful in such a transition.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require substantial additional capital to finance our operations in the future. If we are unable to raise such capital when needed, or on acceptable terms, we may be forced to delay, reduce and/or eliminate one or more of our development programs or future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biotechnology products is a very long, time-consuming, expensive and uncertain process that takes years to complete. We expect our expenses to increase in connection with our ongoing activities, particularly as we conduct clinical trials of, and seek marketing approval for our programs, zumilokibart, APG279, APG273, APG990, APG333, APG531 and APG808, and any future programs and product candidates. Even if one or more of the product candidates that we develop is approved for commercial sale, we anticipate incurring significant costs associated with sales, marketing, manufacturing and distribution activities to launch any such product. Our expenses could increase beyond expectations if we are required by the FDA or other regulatory agencies to perform preclinical studies or clinical trials in addition to those that we are currently conducting or anticipate.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the design of our planned and anticipated clinical trials, as well as the outcome of our ongoing, planned and anticipated clinical trials are highly uncertain, we cannot reasonably estimate the actual amount of funding that will be necessary to successfully complete the development and commercialization of any program we develop. Our future capital requirements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of progress in the development of our zumilokibart, APG279, APG273, APG990, APG333, APG531 and APG808 programs, including for expansion indications beyond AD, asthma and EoE;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studies and clinical trials for any other current and future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characteristics of programs and technologies that we develop or may in-license;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necessary to obtain regulatory approvals, if any, for any approved products in the United States and other jurisdictions, and the costs of post-marketing studies that could be required by regulatory authorities in jurisdictions where approval is obtained;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including claims of infringement, misappropriation or other violation of third-party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continuation of our existing collaborations and licensing and other arrangements and entry into new collaborations and licensing and other arrangements that may be necessary or desirable to develop, manufacture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we incur in maintaining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hiring additional clinical, quality control, manufacturing and other scientific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adding operational, financial and management information systems and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macroeconomic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laboratory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including entering into licensing or collaboration arrangements for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we may require additional funding to achieve our business objectives. We do not have any committed external sources of funds. Although we have entered into the Revenue Share Agreement, additional milestone payments under the Revenue Share Agreement are subject to the satisfaction of conditions, which may not be met. And, adequate additional financing may not be available to us on acceptable terms, or at all. We may be required to seek additional funds sooner than planned through public or private equity offerings, debt financings, collaborations and licensing arrangements or other sources. Such financing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may result in imposition of debt covenants, increased fixed payment obligations or other restrictions that may affect our business. If we raise additional funds through strategic collaborations, licensing arrangements, royalty financings or other collaborations with third parties, we may have to relinquish valuable rights to our technologies, future revenue streams, research programs, or product candidates or grant licenses on terms that may not be favorable to us. Our ability to raise additional capital may be adversely impacted by global macroeconomic conditions and volatility in the credit and financial markets in the United States and worldwide, including resulting from tariffs and trade restrictions, public health crises, the conflict between Russia and Ukraine or the conflicts in the Middle East. For example, escalating trade tensions, uncertainty around interest rates and regulatory uncertainty have caused significant market volatility in recent months, and particularly in the biotechnology and biopharmaceutical industries, which such volatility can have an adverse effect on the ability to raise capital. Our failure to raise capital as and when needed or on acceptable terms would have a negative impact on our financial condition and our ability to pursue our business strategy, and we may be required to delay, limit, suspend or terminate our product development programs. Our failure to raise capital as and when needed or on acceptable terms could also have a negative impact on any future commercialization efforts or we may be required to grant rights to develop and market product candidates to third parties that we would otherwise prefer to develop and market ourselves.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incurred significant losses since inception, and we expect to incur significant losses for the foreseeable future and may not be able to achieve or sustain profitability in the future. We have no products approved for sale, have not generated any revenue from our programs and may never generate revenue or become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Investment in biotechnology product development is a highly speculative undertaking and entails substantial upfront capital expenditures and significant risks that any program will fail to demonstrate adequate efficacy or an acceptable safety profile, gain regulatory approval and become commercially viable. We have no products approved for commercial sale, we have not generated any revenue from product sales to date, and we continue to incur significant research and development and other expenses related to our ongoing operations. We do not expect to generate product revenue unless or until we successfully complete preclinical and clinical development and obtain regulatory approval of, and then successfully commercialize, at least one of our product candidates. We may never succeed in these activities and, even if we do, may never generate revenues that are significant or large enough to achieve profitability. If we are unable to generate sufficient revenue through the sale of any approved products, we may be unable to continue operations without additional funding.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significant net losses in each period since we commenced operations in February 2022. We generated a net loss of $160.0 million for the six months ended June 30, 2026. As of June 30, 2026, we had an accumulated deficit of $721.7 million. We expect to continue to incur significant losses for the foreseeable future. Our operating expenses and net losses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existing and future programs through preclinical and clinical development, including expansion into additional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additional programs and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enforce, defend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establish and maintain additional collaborations and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milestone payments to Paragon under the License Agreements and licensing and royalty payments to WuXi Biologics under the Cell Line License Agreement and under any additional future collaboration or license agreements that we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drug products for which we may obtain marketing approval, either by ourselves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generate revenue from commercial sales of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personnel including research and development, clinical and commercial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or in-license products, intellectual property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and manufacture our clinical supplies and access commercial-scale current good manufacturing practices (“cGMP”) capacity and capabilities through third parties or our own manufacturing facility;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of our programs, or there are any third-party challenges to our intellectual property or we need to defend against any intellectual property-related claim.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obtain marketing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become profitable would decrease the value of our company and could impair our ability to raise capital, maintain our research and development efforts, expand our business and/or continue our operations. A decline in the value of our company could also cause you to lose all or part of your investment.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entitled to obtain additional milestone payments under the BXLS Revenue Share Agreement, and we will be required to make payments to BXLS under the Revenue Share Agreement if the Merger is consummated.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2026, we entered into the Revenue Share Agreement with BXLS. In addition to the $100.0 million we received at signing in exchange for BXLS’s right to receive tiered Revenue Share Payments with respect to annual worldwide Net Sales of zumilokibart, the Revenue Share Agreement made available to us up to an additional $700.0 million in milestone payments in exchange for additional Revenue Share Payments. However, these additional milestone payments are subject to the satisfaction of conditions related to our planned registrational monotherapy Phase 3 clinical trials of zumilokibart in patients with AD and zumilokibart’s receipt of marketing approval from the FDA for the treatment of AD on or prior to December 31, 2030. Should we not satisfy the conditions of the applicable milestones, or if we fail to meet our obligations or default under this agreement, the actual amount of additional milestone payments to us could be substantially less than the maximum amounts available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consummation of the Merger would trigger the change of control provisions of the Revenue Share Agreement, thereby requiring us to pay a specified amount to BXLS. Such amounts will be credited against future Revenue Share Payments otherwise payable to BXLS following the consummation of the Merger. In the alternative, in lieu of the required change of control payment, we have the option to exercise a Buy-Back Option. If we exercise a Buy-Back Option, BXLS’s revenue participation rights will be adjusted downward in accordance with the Revenue Share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Revenue Share Agreement, we have also granted to BXLS a back-up security interest in certain collateral related to the Revenue Share Payments and zumilokibart product rights to secure our obligations under the Revenue Share Agreement. If we are unable to comply with our obligations, BXLS may be entitled to exercise remedies with respect to such collateral, including taking possession of such collateral, which could significantly harm our business, financial condition and results of operations. This backup security interest will terminate upon the later of (a) a change of control with a permitted transferee and (b) BXLS’s receipt of the applicable change of control payment.</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Discovery, Development and Commercialization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competition from entities that have developed or may develop programs for the diseases addressed by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registration for clinical trials, as well as in acquiring technologies complementary to, or necessary for,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competitors have developed, are developing or will develop programs and processes competitive with our programs and processes. Competitive therapeutic treatments include those that have already been approved and accepted by the medical community and any new treatments that are in development and approved following the launch of our products. Our success will depend partially on our ability to develop and commercialize products that have a competitive safety, efficacy, dosing and/or presentation profile. Our commercial opportunity and success could be reduced or eliminated if competing products are safer, more effective, have a more attractive dosing profile or presentation or are less expensive than the products we develop, or if biosimilars enter the market more quickly than we do and are able to gain market acceptance. See the section titled “Business—Competition” in our Annual Report on Form 10-K for the year ended December 31, 2025 for a more detailed description of our competitors and the factors that may affect the success of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because of the competitive landscape for I&amp;I indications, we may also face competition for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An increase in the number of approved products for the indications we are targeting with our programs may further exacerbate this competition. Our inability to enroll a sufficient number of patients could, among other things, delay our development timeline, which may further harm our competitive position.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programs are in clinical and preclinical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products on the market and we have not completed any pivotal clinical trials.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We have not yet demonstrated our ability to complete any pivotal clinical trials,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our product candidates, we or an existing or future collaborator must conduct extensive preclinical tests and clinical trials to demonstrate the safety and efficacy in humans of our programs and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collaborators may experience delays in initiating or completing clinical trials. We or our collaborators also may experience numerous unforeseen events during, or as a result of, any current or future clinical trials that we could conduct that could delay or prevent our ability to receive marketing approval or commercialize our product candidates or any future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or institutional review boards (“IRBs”), the FDA or ethics committees may not authorize us or our investigators to commence a clinical trial or conduct a clinical trial at a prospective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sites deviating from trial protocols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any programs may fail to show safety or efficacy, produce negative or inconclusive results and we may decide, or regulators may require us, to conduct additional preclinical studies or clinical trials or we may decide to abandon product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required for clinical trials of any programs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elect to, or regulators, IRBs or ethics committees may require that we or our investigators amend clinical trial protocols, which could extend the development timeline of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any of our programs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quality of our programs or other materials necessary to conduct clinical trials of our programs may be inadequate to initiate or complete a given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manufacture sufficient quantities of our drug products for use in clinical trials, or there may be delays in manufacturing or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reports from clinical testing of other therapies may raise safety or efficacy concerns about our programs;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fail to establish an appropriate safety profile for a program based on clinical or preclinical data for such programs as well as data emerging from other therapies in the same class as our programs;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regulatory authorities may require us to submit additional data or impose other requirements before permitting us to proceed with proposed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Commencing clinical trials in the United States is subject to acceptance by the FDA of an IND or similar clinical trial application. In the event that the FDA requires us to complete additional preclinical studies or we are required to satisfy other FDA requests prior to commencing future clinical trials, the start of such clinical trials may be delayed. Even after we receive and incorporate guidance from these regulatory authorities, the FDA or other regulatory authorities could disagree that we have satisfied their requirements to commence any future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equivalent processes and risks applicable to clinical trial applications in other countries, including the United Kingdom (“UK”) and countries in the European Union (“EU”).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have the financial resources to continue development of, or to modify existing or enter into new collaborations for, a program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substantially dependent on the success of our product candidates, zumilokibart, APG279, APG273, APG990, APG333, APG531 and APG808, and our ongoing and anticipated trials may not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is substantially dependent on our ability to timely obtain marketing approval for, and then successfully commercialize, our product candidates, including zumilokibart, APG279, APG273, APG990, APG333, APG531 and APG808. We are investing a majority of our efforts and financial resources into the research and development of these product candidates and currently have ongoing clinical trials in zumilokibart, APG279, APG990 and APG333. The success of our product candidates is substantially dependent on observing a longer half-life of our product candidates in humans than other mAbs currently marketed and in development as we believe this longer half-life has the potential to result in a more favorable dosing schedule for our product candidates, assuming they successfully complete clinical development and obtain marketing approval. This is based in part on the assumption that the longer half-life we have observed in non-human primates (“NHPs”) will translate into an extended half-life of our product candidates in humans. To the extent we do not observe this extended half-life when we dose humans with our product candidates or if there are unexpected tolerability issues, including when dosed in combination, it would significantly and adversely affect the clinical and commercial potential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product candidates, or any other product candidates, before we receive marketing approval from the FDA and comparable foreign regulatory authorities, and we may never receive such marketing approvals.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assure you that we will ever be able to generate revenue through the sale of these products, even if approved. If we are not successful in commercializing zumilokibart, APG279, APG273, APG990, APG333, APG531 and APG808 including potential combinations of certain of our product candidates, or are significantly delayed in doing so, our business will be materially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do not achieve our projected development goals in the time frames we announce and expect, the commercialization of our product candidates may be delayed and our expenses may increase and, as a result, our stock price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receipt of interim results or completion of scientific studies and clinical trials, such as the expected timing for Phase 2 Part B maintenance data, initiation of the Phase 3 trial of zumilokibart for AD, initiation of clinical trials of zumilokibart for asthma and EoE, and the Phase 1b head-to-head clinical trial of APG279 against DUPIXENT in AD,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control. For example, we plan to conduct clinical trials in asthma and EoE with trial designs informed by the Phase 2 APEX Part B clinical trial of zumilokibart, as well as the Phase 1b clinical trial of zumilokibart in asthma, which has delayed the previously communicated initiation timing of the zumilokibart Phase 2b clinical trials in asthma and EoE. This change in milestone timing and any inability to meet other milestones as publicly announced, or at all, may delay the commercialization of our product candidates or commercialization may never be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approach to the discovery and development of our programs has not yet led to regulatory approval, and if approval is ultimately achieved, we may not be successful in our efforts to build a pipeline of programs with commercial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approach to the discovery and development of our programs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including YTE and LS amino acid modification, is ongoing and may not result in viable product candidates. We have limited clinical data on product candidates utilizing YTE and LS half-life extension technologies, especially in I&amp;I indications, demonstrating whether they are safe or effective for long-term treatment in humans. The long-term safety and efficacy of these technologies and the extended half-life and exposure profile of our product candidates compared to currently approved products is unknown.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program.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programs prove to be ineffective, unsafe or commercially unviable, our programs and pipeline would have little, if any, value, which would have a material and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programs, we may incur additional costs or experience delays in completing, or ultimately be unable to complete, the development of such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obtaining marketing approval from regulatory authorities for the sale of any product, we must complete preclinical studies and conduct extensive clinical trials to demonstrate the safety and efficacy of our program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or foreign equivalent prior to initiating clinical development, and prior to submitting a marketing application. During the past several years, there was a global shortage of NHPs available for drug development. If the shortages occur in the future, this could cause significantly increased costs of obtaining or decreased availability of NHPs for our future preclinical studies. This could also result in delays in our development and approval timelines.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a failure of one or more clinical trials can occur at any stage of testing. The outcome of preclinical studies and early-stage clinical trials may not be predictive of the success of later clinical trials. Our clinical trials are subject to significant risk factors that can have a material and negative impact on outcomes, many of which are beyond our control. Such factors include unexpectedly high placebo rates, safety limitations and/or tolerability concerns. Other factors that can impact our clinical trial results include, without limitation, patient baseline demographics, clinical protocol adherence, and physician and patient scored outcome measures, among others.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In addition, we expect to rely on patients to provide feedback on measures such as itch and quality of life, which are subjective and inherently difficult to evaluate. These measures can be influenced by factors outside of our control, and can vary widely from day-to-day for a particular patient, and from patient to patient and from site to site within a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be sure that the FDA will agree with our clinical development plan. We used the data from our Phase 1 trial of zumilokibart in healthy volunteers to support our Phase 2 trial in AD and plan to use such data to support Phase 2 trials in other I&amp;I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indications. If the FDA requires us to conduct additional trials, enroll additional patients, or imposes trial enrollment restrictions for zumilokibart or any of our other programs, our development timelines may be delayed. We cannot be sure that submission of an IND, biologics license application (“BLA”)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challenges and delays in activating planned clinical trial sites globally due to the impact of geopolitical tensions; delays in manufacturing, testing, releasing, validating or importing/exporting sufficient stable quantities of our programs for use in clinical trials or the inability to do any of the foregoing; failure by our CROs, other third parties or us to adhere to clinical trial protocols; failure to perform in accordance with the FDA’s or any other regulatory authority’s good clinical practice requirements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CMO and delays or failure by our CMOs or us to make any necessary changes to such manufacturing process; and third parties being unwilling or unable to satisfy their contractual obligations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of the institutions in which such clinical trials are being conducted, by the Data Safety Monitoring Board or equivalent body,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programs beyond those that we currently contemplate, if we are unable to successfully complete clinical trials of our programs, if the results of these trials are not positive or are only moderately positive or if there are safety concerns, our business and results of operations may be adversely affected and we may incur significant additional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anticipate developing certain product candidates for use in combination with one or more of our other product candidates, and regulatory issues, safety issues and efficacy results of the monotherapy product candidate may delay or prevent the development, approval and successful commercialization of our combination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anticipate developing certain product candidates for use in combination with one or more of our other product candidates, which may subject us to additional risks that are not faced for product candidates being administered as monotherapy. Obtaining approval for one or both monotherapies would not support regulatory approval, marketing or sale of the combination therapy.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benefit risk profile of the combination therapy may be impacted by the efficacy and safety profile of the monotherapy. The adverse side effects of our monotherapy product candidates may be enhanced when combined with other product candidates. If such adverse side effects are experienced, we could be required to conduct additional preclinical and clinical studies, and if such adverse side effects are severe, we may not be able to continue the clinical trials of the combination therapy because the risks may outweigh the therapeutic benefit of the combination. In addition, the FDA or comparable foreign regulatory authorities may require us to conduct additional unplanned clinical trials, or to use more complex clinical trial designs in order to evaluate the contribution of each product candidate to any observed effects. Further, we cannot be sure that healthcare providers will view our product candidates, if approved as part of a combination treatment, as sufficiently superior to a treatment regimen consisting of only the monotherapy product candidate.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encounter difficulties enrolling patients in our current and future clinical trials, our clinical development activities could be delayed or otherwise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difficulties in patient enrollment in our current and future clinical trials for a variety of reasons. The timely completion of clinical trials in accordance with their protocols depends, among other things, on our ability to enroll a sufficient number of patients who remain in the trial until its conclusion. The enrollment of patients in current or future trials for any of our programs will depend on many factors, including if patients choose to enroll in clinical trials, rather than using approved products, or if our competitors have ongoing clinical trials for programs that are under development for the same indications as our programs, and patients instead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 in such clinical trials. Also, if we are unable to enroll a sufficient number of patients with the necessary baseline characteristics, our placebo rates, clinical trial results and the patient population indicated on the label approved by the FDA could be impacted. Additionally, the number of patients required for clinical trials of our programs may be larger than we anticipate, especially if regulatory bodies require the completion of non-inferiority or superiority trials. Even if we are able to enroll a sufficient number of patients for our current or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Preliminary, “topline” or interim data from our clinical trials that we announce or publish from time to time may change as more patient data become available and are subject to audit and verification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program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current and future clinical trials or those of our future collaborators may reveal significant adverse events or undesirable side effects not seen in our preclinical studies and may result in a safety profile that could halt clinical development, inhibit regulatory approval or limit commercial potential or market acceptance of any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our clinical trials could reveal a high and unacceptable severity and prevalence of side effects, adverse events or unexpected characteristics. While our preclinical studies in NHPs and those of our clinical trials for which we have disclosed data have not shown any such characteristics to date, we cannot assure you that the results of our clinical trials will not reveal such characteristics. If significant adverse events or other side effects are observed in any of our current or future clinical trials, we may have difficulty recruiting patients to such trials, patients may drop out of our trials, or we may be required to abandon the trials or our development efforts of one or more programs altogether. For example, certain drugs targeting IL</w:t>
        <w:noBreakHyphen/>
        <w:t>13, including zumilokibart, in the APEX Phase 2 clinical trial, or IL-4Rα have demonstrated increased conjunctivitis in patients with AD. We, the FDA or other applicable regulatory authorities, or an IRB, may suspend any clinical trials of any program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program from obtaining or maintaining marketing approval, undesirable side effects may inhibit market acceptance of the approved product due to its tolerability versus other therapies. In addition, an extended half-life could prolong the duration of undesirable side effects, which could also inhibit market acceptance. TEAEs could also affect patient recruitment or the ability of enrolled subjects to complete our clinical trials or could result in potential product liability claims. Potential side effects associated with our programs may not be appropriately recognized or managed by the treating medical staff, as toxicities resulting from our programs may not be normally encountered in the general patient population and by medical personnel. In addition, safety issues associated with competing products that target similar pathways could result in the FDA or comparable foreign regulatory authorities imposing restrictions on our clinical trials or product labeling or denying approval of our products. Any of these occurrences could harm our business, financial condition, results of operations and prospects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even if we successfully advance our programs or any future program through clinical trials, such trials will only include a limited number of patients and limited duration of exposure to our product candidates. As a result, we cannot be assured that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effects of our programs will not be uncovered when a significantly larger number of patients are exposed to the program after approval. Further, any clinical trials may not be sufficient to determine the effect and safety consequences of using our programs over a multi-year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of the foregoing events occur or if one or more of our programs prove to be unsafe, our entire pipeline could be affected,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expend our limited resources to pursue a particular program and fail to capitalize on programs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have limited financial and managerial resources, we focus our research and development efforts on certain selected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we are initially focused on our current programs, zumilokibart, APG279, APG273, APG990, APG333, APG531 and APG808, alone or in combination.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program, we may relinquish valuable rights to that program through collaboration, licensing or other royalty arrangements in cases in which it would have been more advantageous for us to retain sole development and commercialization rights to such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gains payor access, can be sold at a competitive price and will otherwise be accepted in the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there are several approved products and product candidates in later stages of development for the treatment of AD, including DUPIXENT, EBGLYSS, ADBRY and NEMLUVIO in the United States and EU; all approved treatments for moderate-to-severe AD. However, our programs in development for AD incorporate advanced antibody engineering to optimize half-life of antibodies targeting IL-13 and OX40L; to date, no such antibody has been approved by the FDA for the treatment of AD.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or lead to a longer duration of any side effects, each of which may adversely affect our ability to gain market acceptance. Market acceptance of our programs will depend on many factors, including factors that are not within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medical/pharmaceutical products also depend on the willingness of clinicians to prescribe the treatment. We cannot predict whether clinicians, clinicians’ organizations, hospitals, clinics, other healthcare providers (“HCPs”), government agencies or private insurers will determine that our product is safe, therapeutically effective, cost effective or less burdensome as compared with competing treatments. If any current or future program is approved but does not achieve an adequate level of acceptance by such parties, we may not generate or derive sufficient revenue from that program and may not become or remain profitable.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Certain of our programs may compete with our other programs, which could negatively impact our business and reduce our future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developing monotherapy and combination programs which may compete with one another. For example, we are developing zumilokibart and APG279 for the same indication: moderate to severe AD, and may in the future develop our programs for other I&amp;I indications. Each such program targets single or multiple mechanisms that could provide differentiation from standard of care or each other. Based on the distinct mechanisms of action, we are developing zumilokibart as a frontline treatment for patients with moderate-to-severe AD who have failed or have an inadequate response to topical corticosteroids. APG279 may serve as alternative treatments for frontline patients and/or patients who have failed or have inadequate responses to other treatment options. However,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multiple programs for a single indication may negatively impact the market share of each individual program if the programs compete with each other. For example, if multiple programs are conducting clinical trials at the same time, they could compete for the enrollment of patients. In addition, if multiple programs are approved for the same indication, they may compete for the same patients, which could impact our product development timelines and limit our future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conducting and may conduct future clinical trials for our programs at sites outside the United States, and the FDA may not accept data from trials conducted in such locations.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conducting ongoing clinical trials, which include sites outside the United States, and we may choose to conduct one or more of our future clinical trials outside the United States. Although the FDA may accept data from clinical trials conducted outside the United States, acceptance of this data is subject to conditions and guidance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on collaborations and licensing arrangements with third parties, including our collaboration with Paragon. If we are unable to maintain these collaborations or licensing arrangements, or if these collaborations or licensing arrangements are not successful, our business could be negatively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rely on our collaborations and licensing arrangements with third parties, including Paragon, for a substantial portion of our discovery capabilities and in-licenses. We consider Paragon to be a related party because Fairmount Funds Management LLC, which beneficially owns more than 5% of Paragon, beneficially owns more than 5% of our capital stock and, as of the date of this Quarterly Report, has one seat on our Board of Directors (the “Board”).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their agreement with us, disagrees with our interpretation of the terms of such agreement or terminates their agreement with us, our pipeline and programs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 candidates if the collaborators believe that the competitive products are more likely to be successfully developed or can be commercialized under terms that are more economically attractive than ours.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only control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and in some instances GLP regulations, which are regulations and guidelines enforced by the FDA and comparable foreign regulatory authorities for all of our programs in clinical development. If we or any of these third parties fail to comply with applicable GCP or GLP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third parties conducting our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reliance on foreign CMOs may expose us to supply chain disruption, delays in our clinical development programs, regulatory risks and increased costs, which may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rely on foreign CMOs, including WuXi Biologics and Samsung Biologics, and will likely continue to rely on foreign CMOs in the future. Foreign CMOs may be subject to U.S. legislation, including the BIOSECURE Act,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Since February 2025, the United States government has imposed various tariffs on imports from China, South Korea and other countries and may impose more restrictions on goods, including biologically derived substances, manufactured in or imported from China, South Korea or impose other restrictions on companies’ ability to work with Chinese and South Korean biotechnology companies. To the extent these or future tariffs are applicable to the material we import from China, South Korea and other countries, our financial condition could be adversely affected.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rely and expect to rely in the future on the use of third-party facilities and on third parties to manufacture and test our product candidates, and we may rely on third parties to produce and process our products, if approved. Our business could be adversely affected if we are unable to use third-party manufacturing suites or testing facilities or if the third-party manufacturers encounter difficulties in production.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own any facility that may be used as our clinical-scale manufacturing and processing facility and must currently rely on CMOs for developing, manufacturing and testing our product candidates. While we have manufactured zumilokibart drug substance at commercial scale, it has only been for use in clinical trials, and we have not yet demonstrated the ability to manufacture zumilokibart drug product or any of our other product candidates on a commercial scale and may not be able to successfully manufacture any of our product candidates for commercialization, if approved. We currently have two sources for our preclinical and clinical supply of zumilokibart drug substance and drug product and have entered into an agreement for the commercial supply of zumilokibart drug substance should the product candidate eventually receive regulatory approval, and we are working to finalize the terms of our potential commercial supply arrangement for zumilokibart drug product. We have a sole source relationship for our preclinical and clinical supply of APG990, APG333, and APG808 drug substance and drug product. If there should be any disruption in our supply arrangements, including any adverse events affecting our sole suppliers, it could have a negative effect on the clinical development of our product candidates and other operations while we work to identify and qualify alternate supply sources.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no control over the ability of our CMOs to maintain adequate quality control, quality assurance and other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operating restrictions and criminal prosecutions, any of which could significantly and adversely affect supplies of our product candidates and harm our business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our CMOs may experience manufacturing difficulties due to resource constraints, supply chain issues, human capital constraints, natural disasters or as a result of labor disputes or unstable political environments, including tariffs and restrictions imposed by the United States government and potential retaliatory measures by foreign governments, which impact goods required for the operation of their business. For example, in March 2026, the Samsung Biologics Co., Ltd. (“Samsung Biologics”) labor union voted in favor of a strike. Although this has not impacted the Company to date, a prolonged strike could lead to disruption at the Samsung Biologics manufacturing sites, which could impact the development or manufacturing of our product candidates.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and other vendors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refusal to permit the import or export of products or increased costs as a result of tariffs on imports imposed by the United States government.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resulting in higher costs or adversely impacting commercialization of our products. See the section titled “Business-Manufacturing and Supply” in our Annual Report on Form 10-K for the year ended December 31, 2025 for a more detailed description of our manufacturing and supply plans and assumptions and the factors that may affect the success of our product candidates.</w:t>
      </w:r>
    </w:p>
    <w:p>
      <w:pPr>
        <w:pStyle w:val="TextBody"/>
        <w:bidi w:val="0"/>
        <w:spacing w:before="360" w:after="283"/>
        <w:jc w:val="both"/>
        <w:rPr>
          <w:rFonts w:ascii="Times New Roman" w:hAnsi="Times New Roman"/>
          <w:sz w:val="20"/>
        </w:rPr>
      </w:pPr>
      <w:r>
        <w:rPr>
          <w:rFonts w:ascii="Times New Roman" w:hAnsi="Times New Roman"/>
          <w:b/>
          <w:i/>
          <w:color w:val="000000"/>
          <w:sz w:val="20"/>
        </w:rPr>
        <w:t>We intend to deliver our product candidates via a pre-filled syringe, autoinjector or other drug delivery device presentation that will have its own regulatory, development, supply and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intend to deliver our product candidates via a pre-filled syringe, autoinjector or other drug delivery device presentation. There may be unforeseen technical complications related to the development activities required to bring such a product to market. Our product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candidates may not be approved or may be substantially delayed in receiving approval if the device presentations do not gain and/or maintain their own regulatory approvals or clearances. Where approval of the drug product and device presentation is sought under a single application, the increased complexity of the review process may delay approval. In addition, our drug delivery device presentation for zumilokibart is provided by a single-source unaffiliated third-party. We are dependent on the sustained cooperation and effort of that third-party and any other third-party companies we may contract with in the future, both, to supply the device presentation and, in some cases, to conduct the studies required for approval or other regulatory clearance of the device presentation. Even if approval is obtained, we may also be dependent on those third-party companies continuing to maintain such approvals or clearances once they have been received. Failure of third-party companies to supply the device presentation, to successfully complete studies on the devices in a timely manner, or to obtain or maintain required approvals or clearances of the device presentation could result in increased development costs, delays in or failure to obtain regulatory approval and delays in product candidates reaching the market or in gaining approval or clearance for expanded labels for new indications.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Our Business and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experience significant growth in the number of our employees and the scope of our operations, particularly in the areas of clinical drug development, technical operations, clinical operations, regulatory affairs and commercial operations. To manage our anticipated future growth, we must continue to implement and improve our managerial, operational and financial personnel and systems, expand our facilities and continue to recruit and train additional qualified personnel. We are dependent on the experience of our management team, who have only worked together for a limited time in managing a public company with such anticipated growth, and we may not be able to effectively manage the expansion of our operations or recruit and train additional qualified personnel.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highly dependent on our key personnel and, if the Merger is not completed, anticipate hiring new key personnel. If we are not successful in attracting and retaining highly qualified personnel, we may not be able to successfully implement our business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our Chief Executive Officer, Chief Medical Officer, Chief Financial Officer and other key members of our leadership team. Although we have entered into employment agreements with our executive officers, each of them may terminate their employment with us at any time. We do not maintain “key person” insurance for any of our executives or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loss of the services of our executive officers or other key employees could impede the achievement of our research, development and commercialization objectives and seriously harm our ability to successfully implement our business strategy. The Merger may make it more difficult to attract and retain qualified employees due to the uncertainty about whether or when the transaction will close and the impact of the Merger on our employees. Furthermore, replacing executive officers and key personnel may be difficult and may take an extended period of time. 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If tariffs, trade restrictions, or other trade related measures are ultimately applied to materials used in our clinical development programs or commercial supply chain, our cost on development and commercialization may increase, our ability to source critical CMOs to manufacture product candidates may be limited, and our clinical development timeline may be delayed.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collaborators, principal investigators, CROs, CMOs, suppliers and vendors acting for or on our behalf may engage in misconduct or other improper activities. While we have adopted a code of conduct,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internal information technology systems, or those of any of our CROs, manufacturers, other contractors or consultants, third 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implement a variety of security measures designed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attacks enhanced or facilitated by AI, which may compromise our system infrastructure or lead to the loss, destruction, alteration or dissemination of, or damage to, our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remote workforce may create additional risks for our information technology systems and data because a majority of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may be unable in the future to detect vulnerabilities in our information technology systems because such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See the section titled “Business—Government Regulation—Data Privacy and Security” in our Annual Report on Form 10-K for the year ended December 31, 2025 for a more detailed description of the laws that may affect our ability to operate.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our employees and personnel have begun to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and has the potential to result in bias, miscalculations, data errors and other unintended consequences. Furthermore, any confidential information that is disclosed to a third-party generative AI platform or vendor that uses generative AI could be leaked or disclosed to others, including sensitive information that is used to train the third parties' model, which may impact our ability to realize the benefits of our intellectual property. If we are unable to use generative AI, it could make our business less efficient and result in competitive disadvantages. Our vendors may also incorporate generative AI tools into their offerings, and the providers of these generative AI tools may not meet existing or rapidly evolving regulatory or industry standards with respect to privacy and data protection. If any of our vendors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adverse legislative or regulatory tax changes that could negatively impact our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rules governing U.S. federal, state and local income taxation are constantly under review and modification by persons involved in the legislative process and by the Internal Revenue Service and the U.S. Treasury Department. Changes to tax laws, including those with potential retroactive application, could adversely affect us or our stockholders. We regularly assess the potential impact of various tax reform proposals and modifications to existing tax treaties in jurisdictions where we have operations to understand their potential effect on our business and any assumptions we have made about our future taxable income. However, we cannot predict whether any specific proposals will be enacted, the terms of any such proposals or what effect, if any, such proposals may have on our tax positions, financial conditions or our stockholders, if they were to be enacted.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beginning in 2022, the Tax Cuts and Jobs Act eliminated the previously available option to immediately deduct research and development expenditures and instead requires taxpayers to amortize them generally over five years for research activities conducted in the United States and over 15 years for research activities conducted outside the United States. On July 4, 2025, the U.S. Congress enacted the One Big Beautiful Bill Act (“OBBBA”), which includes a provision restoring the immediate deductibility of domestic research and development expenditures. Although the impact of the OBBBA has been immaterial to our business to date, we have no assurance as to whether, when and how this provision may be subject to further amendment or repeal. These and other changes in tax laws or in how they are interpreted may adversely affect our effective tax rate, results of operation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acquire businesses or products, or form strategic alliances, in the future, and may not realize the benefits of such 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programs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protect our patents and other proprietary rights is uncertain, exposing us to the possible loss of competitive advantage.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upon a combination of patents, trademarks, trade secret protection and confidentiality agreements to protect the intellectual property related to our programs and technologies and to prevent third parties from competing with us. Our success depends in large part on our ability to obtain and maintain patent protection for our technologies, programs and their uses, as well as our ability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operate without infringing on or violating the proprietary rights of others. We own and have licensed rights to an issued patent and pending patent applications and expect to continue to file patent applications in the United States and abroad related to our novel discoveries and technologies that are important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intellectual property portfolio is at an early stage and we currently own one issued patent. Our pending and future patent applications may not result in additional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programs under patent protection could be reduced. Thus, the patents that we own and license may not afford us any meaningful competitive advantage.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expose us to patent infringement allegations and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Lastly, if our trademarks and trade names are not registered or adequately protected, then we may not be able to use our trademarks or trade names or build name recognition in our markets of interest and our business may be adversely affected. Third parties may file oppositions to our trademark applications in various jurisdictions around the world, and if those third-party oppositions are successful, we may not be able to secure protection for our names or logos in those jurisdictions. Further, third parties may initiate trademark-related court proceedings in certain jurisdictions, depending on the circumstances in each jurisdiction, alleging that we have infringed their trademarks, depreciated goodwill they have built up with consumers, and/or confused consumers by passing off our products as those of the third party. If those third parties are successful in such proceedings, we may be enjoined from using our names or logos in those jurisdictions and may have to pay associated damages to the third party. Such opposition proceedings and court proceedings, regardless of the outcome, may cause us to incur significant legal expenses and divert some of our personnel from other business concerns.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programs through acquisitions and in-licenses.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our development programs currently do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normally seek to obtain the right to control prosecution, maintenance and enforcement of the patents relating to our programs, there may be times when the filing and prosecution activities for patents and patent applications relating to our programs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programs, we could lose our rights to the intellectual property or our exclusivity with respect to those rights, our ability to develop and commercialize those programs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may arise between us and our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patent infringement claims or may need to file claims to protect our intellectual property, which could result in substantial costs and liability and prevent us from commercializing our potential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the intellectual property landscape in the biotechnology industry is rapidly evolving and interdisciplinary, it is difficult to conclusively assess our freedom to operate and guarantee that we can operate without infringing on or violating third party rights. If certain of our programs advance to commercialization, patent rights held by third parties, if found to be valid and enforceable, could be alleged to render one or more of our programs infringing. If a third party successfully brings a claim against us, we may be required to pay substantial damages, be forced to abandon any affected program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Competitors may infringe or otherwise violate our patents, trademarks, copyrights or other intellectual property. To counter infringement or other violations, we may be required to file claims, which can be expensive and time-consuming. Any such claims could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our employees, consultants or independent contractors have wrongfully used or disclosed confidential information of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to patent laws in the United States and other jurisdictions could diminish the value of patents in general, thereby impairing our ability to protect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in 2023, the United States Supreme Court in Amgen, Inc. v. Sanofi held that Amgen’s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 Additionally, there have been proposals for additional changes to the patent laws of the United States and other countries that, if adopted, could impact our ability to enforce our proprietary technology. Depending on future actions by the Congress, the United States courts, the USPTO and the relevant law-making bodies in other countries, the laws and regulations governing patents could change in ways that could have a material adverse effect on our patent rights and weaken our ability to protect, defend and enforce our patent rights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 European Unified Patent Court (“UPC”) entered into force on June 1, 2023. The UPC is a common patent court to hear patent infringement and revocation proceedings effective for member states of the EU. This enables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or will be maintained in a validity proceeding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programs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programs are obtained, once the patent life has expired, we may be open to competition from competitive products, including biosimilars. Given the amount of time required for the development, testing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review of new programs, patents protecting such programs might expire before or shortly after such programs are commercialized. As a result, our owned and licensed patent portfolio may not provide us with sufficient rights to exclude others from commercializing products similar or identical to ours.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technology licensed from various third parties may be subject to retained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Government Regulation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programs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products, if approved,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its safety risks; the FDA or comparable foreign regulatory authorities may disagree with our interpretation of data from preclinical studies or clinical trials; the data collected from clinical trials of our product candidates may not be acceptable or sufficient to support the submission of an NDA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 In addition, the FDA and comparable foreign regulatory authorities may undergo leadership changes, change their policies, issue additional regulations or revise existing regulations, or take other actions, such as those implemented by the Department of Government Efficiency,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were to obtain approval, regulatory authorities may approve any of our product candidates for fewer or more limited indications than we request, including failing to approve the most commercially promising indications, may grant approval contingent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could negatively affect the review and approval of our regulatory submissions,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regulatory submissions can be affected by a variety of factors, including statutory, regulatory and policy changes, inadequate government budget funding levels or a reduction in the FDA’s workforce and its ability to hire and retain key personnel, disruptions caused by government shutdowns and public health crises. There have been mass layoffs of federal employees since the start of the current presidential administration in January 2025, the full impact of which is unclear at this time. In addition, over the last several years, the U.S. federal government has shut down several times, including as recently as October 2025, and certain regulatory agencies, such as the FDA, have furloughed critical government employees and stopped critical activities. Such disruptions could significantly impact the ability of the FDA or other regulatory authorities to timely review and process our regulatory submissions, which could have a material adverse effect on our business. In addition, the presidential administration has made and is expected to continue to make changes in the leadership of various U.S. federal regulatory agencies and changes to U.S. federal government policy that have led to, in some cases, legal challenges and uncertainty around the funding, functioning and policy priorities of the U.S. federal regulatory agencies, including the FDA. Such changes could result in the imposition of additional requirements upon our business, including in connection with our planned and ongoing clinical trials, that could delay our submissions to the FDA and ability to obtain approvals and increase the costs of 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unable to predict the extent to which the current or future presidential administration may impose or seek to impose leadership or policy changes at the FDA or changes to rules and policies impacting the review and approvability of our submissions and our business and operations. It is unclear how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current product candidates or future product candidates, which could have a material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meet requirements for the chemistry, manufacturing and control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or drug substance, developing an acceptable formulation, performing tests to adequately characterize the product, documenting a repeatable manufacturing process, meeting facility, process and testing validation requirements, and demonstrating that our drug products and delivery devices meet standards for parenteral administration as well as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programs for which we intend to seek approval as biologics may face competition sooner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Patient Protection and Affordable Care Act, as amended by the Healthcare and Education Reconciliation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w:t>
        <w:noBreakHyphen/>
        <w:t>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any of our programs approved as biologics under a BLA should qualify for the 12</w:t>
        <w:noBreakHyphen/>
        <w:t xml:space="preserve">year period of exclusivity. However, there is a risk that this exclusivity could be shortened or changed due to congressional action or otherwise, or that the FDA will not consider our programs to be reference products for competing products, potentially creating the opportunity for competition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patient subpopulations,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difficulties from healthcare legislative reform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the section titled “Business—Government Regulation—Healthcare Reform” in our Annual Report on Form 10-K for the year ended December 31, 2025 for a more detailed description of healthcare reforms measures that may prevent us from being able to generate revenue, attain profitability, or commercialize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products, if approved. See the section titled “Business—Government Regulation—Other Healthcare Laws and Compliance Requirements” in our Annual Report on Form 10-K for the year ended December 31, 2025 for a more detailed description of the laws that may affect our ability to operate.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are able to commercialize any product candidates, due to potential unfavorable pricing regulations and/or third-party coverage/access and reimbursement policies, we may not be able to realize access to products or appropriate pricing, which would seriously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part on the extent to which reimbursement and distribution for these product candidates and related treatments will be available from government health administration authorities, private health insurers and other organizations. Government authorities and other third-party payors, such as private health insurers, health maintenance organizations, group purchasing organizations and pharmacy benefit managers, decide which medications they will cover and reimburse, including the establishment of reimbursement levels for those medications.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would materially adversely affect our business and financial condition. See the sections titled “Business—Government Regulation—Coverage and Reimbursement” and “Business—Other Government Regulation Outside of the United States—Regulation in the European Union” in our Annual Report on Form 10-K for the year ended December 31, 2025 for a more detailed description of the government regulations and third-party payor practices that may affect our ability to commercialize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Governments outside the United States tend to impose strict price controls, which may adversely affect our revenue and/or our ability to gain access to our products, if 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Brexit could lead to legal uncertainty and potentially divergent national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the FDA approved an expedited pathway for one of our product candidates, it may not lead to a faster development or regulatory review or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drug is intended for the treatment of a serious or life-threatening condition and the drug demonstrates the potential to address unmet medical needs for this condition, the product sponsor may apply for an expedited designation. The FDA has broad discretion whether or not to grant an expedited designation, and even if we receive an expedited designation, we may not experience a faster development process, review or approval compared to conventional FDA procedures. The FDA may withdraw the expedited designation if it believes that the designation is no longer supported by data from our clinical development program. Additionally, changes in the leadership of the FDA and other actions taken by the presidential administration,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for an expedited designation and progress development of our programs or obtain regulatory approval for our programs. See the section titled “Business—Government Regulation—Expedited Development and Review Programs” in our Annual Report on Form 10-K for the year ended December 31, 2025 for a more detailed description of the process for seeking Fast Track Designation.</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Risks Related to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each of which may cause our stock price to fluctuate or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 the factors discussed in this “Risk Factors” section and elsewhere in this Quarterly Report.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price of our stock has fluctuated in the past and may continue to be volatile,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price of our common stock has fluctuated in the past, and is likely to continue to fluctuate substantially in response to various factors, some of which are beyond our control, including the factors discussed in this “Risk Factors” section and elsewhere in this Quarterly Report. The realization of any of these factors could have a dramatic and adverse impact on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 in general, and the market for biotechnology and biopharmaceutical companies in particular, have historically been particularly volatile and experienced extreme price and volume fluctuations that have often been unrelated or disproportionate to the operating performance of these companies. Broad market and industry factors, including developments related to the products and product candidates of our competitors, may negatively affect the market price of our common stock, regardless of our actual operating performance or clinical trial results. For example, our stock price experienced volatility around the release of positive 16-week data from APEX Part A of our Phase 2 trial of zumilokibart for AD. In addition, escalating trade tensions, uncertainty around interest rates and regulatory uncertainty have caused significant market volatility in recent months, and particularly in the biotechnology and biopharmaceutical industries. If the market price of our common stock does not exceed the price at which you purchase your shares, you may not realize any return on your investment in us and may lose some or all of your investment. Securities class action litigation is often initiated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influence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executive officers, directors, holders of 5% or more of our capital stock and their respective affiliates beneficially own a significant percentage of our outstanding voting common stock and all of our outstanding non-voting common stock. These stockholders, acting together, may be able to impact matters requiring stockholder approval. For example, they may be able to entrench management or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market price of our common stock to drop significantly, even if our business is doing well.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will have on the market price of our common stock. Sales of a substantial number of shares of our common stock in the public market, including shares sold by holders of 5% or more of our capital stock and their respective affiliates or shares issued through our at-the-market facility or upon exercise of outstanding options or other equity awards, has in the past and could in the future reduce the market price of our common stock. 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certain holders of our shares of our common stock have rights, subject to specified conditions, to require us to file registration statements covering their shares or to include their shares in registration statements that we may file for ourselves or other stockholders. We have filed a registration statement under the Securities Act of 1933, as amended (the “Securities Act”) to register the shares of our common stock reserved for issuance under our equity compensation plans. These shares can be freely sold in the public market upon issuance, subject to volume limitations applicable to affiliates.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that our stockholders might consider favorable. At any time while at least 6,061,821 shares of non-voting common stock remain issued and outstanding, we may not consummate a Fundamental Transaction (as defined in our amended and restated certificate of incorporation)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non-voting common stock. All of the outstanding shares of non-voting common stock are held by entities affiliated with two stockholders. This provision of our amended and restated certificate of incorporation may make it more difficult for us to enter into any of the aforementioned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See the section titled “Anti-Takeover Effects of Our Amended and Restated Certificate of Incorporation, Amended and Restated Bylaws and Delaware Law” in our Description of Securities filed as Exhibit 4.4 to our Annual Report on Form 10-K for the year ended December 31, 2025.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(or, if the Court of Chancery does not have jurisdiction, another State court in Delaware or the federal district court for the District of Delaware) is the exclusive forum for certain actions, in all cases subject to the court’s having jurisdiction over indispensable parties named as defendants. In addition, our amended and restated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These exclusive forum provisions may impose additional costs on stockholders in pursuing any such claims or limit a stockholder’s ability to bring a claim in a judicial forum that it finds favorable for disputes, which may discourage lawsuits. There is uncertainty as to whether a court would enforce such provisions.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 See the section titled “Anti-Takeover Effects of Our Amended and Restated Certificate of Incorporation, Amended and Restated Bylaws and Delaware Law” in our Description of Securities filed as Exhibit 4.4 to our Annual Report on Form 10-K for the year ended December 31, 2025.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Because we do not anticipate paying any dividends on our capital stock in the foreseeable future, capital appreciation, if any, will be your sole source of gain.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dividends on our capital stock. We currently intend to retain all of our future earnings, if any, to finance the growth and development, operation and expansion of our business and do not anticipate declaring or paying any dividends for the foreseeable future. As a result, capital appreciation, if any, of our common stock will be your sole source of gain for the foreseeable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dual class structure of our common stock may limit your ability to influence corporate matters and may limit your visibility with respect to certain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Additionally, stockholders who hold, in the aggregate, more than 10% of our common stock and non-voting common stock, but 10% or less of our common stock, and are not otherwise an insider, may not be required to report changes in their ownership due to transactions in our non-voting common stock pursuant to Section 16(a) of the Exchange Act, and may not be subject to the short-swing profit provisions of Section 16(b) of the Exchange Act.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become exposed to costly and damaging liability claims, either when testing our programs in the clinic or at the commercial stage, and our product liability insurance may not cover all damages from such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potential product liability and professional indemnity risks that are inherent in the research, development, manufacturing, marketing and use of pharmaceutical products. While we currently have no products that have been approved for commercial sale, the use of our product candidates in clinical trials, and the sale of any approved products in the future, may expose us to liability claims. These claims may be made by patients that use the product, HCPs, pharmaceutical companies, or others selling such products. Any claims against us, regardless of their merit, could be difficult and costly to defend and could materially and adversely affect the market for our products or any prospects for commercialization of our products. Although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Litigation costs and the outcome of litigation could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and we may not have adequate insurance coverage in the event these risks materialize, which may cause a material adverse effect on our business, financial condition, results of operations or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us or our business,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no or few securities or industry analysts continue coverage of us or if one or more of these analysts cease coverage of us or fail to publish reports on us regularly, our stock price could be negatively impacted. If any of the analysts who cover us issue adverse or misleading research or reports regarding us, our business model, our intellectual property, our stock performance or our market, or if our clinical trials or operating results fail to meet the expectations of analysts, our stock price would likely decline. If one or more of these analysts cease to cover our stock, we could lose visibility in the market for our stock, which in turn could cause our stock price and trading volume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will continue to be required to devote substantial time to new compliance initiatives and corporate governance practices.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 consuming. Our management and other personnel will continue to devote a substantial amount of time to these compliance initiatives, and we will continue to incur increased legal and financial compliance costs. For example, maintaining customary public company director and officer liability insurance requires substantial expenditures. The impact of these legal and financial requirements could make it more difficult for us to attract and retain qualified persons to serve on our Board, our Board committees or as executive officers. The increased costs may require us to reduce costs in other areas of our business or increase the prices of our product candidates,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 over financial reporting. We are also required to have an audit of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are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could be adversely affected by economic downturns, inflation, increases in interest rates, natural disasters, public health crises, political crises, geopolitical events, such as the conflict between Russia and Ukraine, and Israel and Hamas or other macroeconomic conditions, which could have a material and adverse effect on our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current presidential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Further, in early April 2026, President Trump issued a proclamation under Section 232 of the Trade Expansion Act of 1962 determining that imports of certain pharmaceutical products, including patented pharmaceuticals, associated active pharmaceutical ingredients and related materials could threaten U.S. national security and authorized the imposition of tariffs of up to 100% on covered imports. Imports of certain listed products from specific partner countries, including South Korea and the European Union, may be subject to reduced tariff rates. It is not yet clear whether these tariffs would apply to the importation of active pharmaceutical ingredients and possibly bulk drug products that are intended for use in clinical trials and not for commercial sale, which could increase the costs of materials for our clinical trials. There still remains substantial uncertainty about the duration of existing tariffs and whether additional tariffs may be imposed, modified 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suspended. Historically, tariffs have led to increased trade and political tensions and foreign countries’ retaliatory tariffs on U.S. goods. Political tensions as a result of trade policies could reduce trade volume, investment, technological exchange and other economic activities between major international economies, which could materially adversely affect global economic conditions and the stability of global financial markets. In addition, the Federal Reserve raised interest rates multiple times in response to concerns about inflation and, although it has lowered interest rates, there is no guarantee that it will not raise them again. Higher interest rates, coupled with reduced government spending and volatility in financial markets, may increase economic uncertainty and affect consumer spending. Similarly, geopolitical uncertainties and international conflicts, including the ongoing military conflicts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Heading1"/>
        <w:bidi w:val="0"/>
        <w:spacing w:before="360" w:after="283"/>
        <w:jc w:val="both"/>
        <w:rPr>
          <w:rFonts w:ascii="Times New Roman" w:hAnsi="Times New Roman"/>
          <w:color w:val="000000"/>
          <w:sz w:val="20"/>
        </w:rPr>
      </w:pPr>
      <w:bookmarkStart w:id="17" w:name="item_2_unregistered_sales_of_equity"/>
      <w:bookmarkEnd w:id="17"/>
      <w:r>
        <w:rPr>
          <w:rFonts w:ascii="Times New Roman" w:hAnsi="Times New Roman"/>
          <w:color w:val="000000"/>
          <w:sz w:val="20"/>
        </w:rPr>
        <w:t>Item 2. Unregistered Sales of Equity Securities and Use of Proceeds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Proceeds from IPO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2023, we completed our IPO pursuant to which we issued and sold an aggregate of 20,297,500 shares of our common stock, including the full exercise of the underwriters’ option to purchase up 2,647,500 additional shares, at the IPO price of $17.00 per share. The offer and sale of all of the shares of our common stock in the IPO were registered under the Securities Act pursuant to our Registration Statement on Form S</w:t>
        <w:noBreakHyphen/>
        <w:t>1, as amended (File Nos. 333</w:t>
        <w:noBreakHyphen/>
        <w:t>272831 and 333</w:t>
        <w:noBreakHyphen/>
        <w:t>273236), which were declared effective on July 13, 2023. Jefferies, TD Cowen, Stifel and Guggenheim Securities acted as joint book-running managers for the IPO. Wedbush PacGrow acted as lead manager for the IPO. We received gross proceeds from our IPO of approximately $345.1 million, and net proceeds of approximately $315.4 million, after deducting underwriting discounts and commissions and other offering expenses. None of the underwriting discounts and commissions or other offering expenses were incurred or paid, directly or indirectly, to any of our directors or officers or their associates or to persons owning 10% or more of our common stock or to any of our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net proceeds from the IPO have been used and are expected to be used primarily to fund our clinical trials, including our Phase 2 trial, and manufacturing of our zumilokibart product candidate, fund our preclinical studies, clinical trials and manufacturing of our APG808 program, fund our preclinical studies, clinical trials and manufacturing of our APG990 program and fund our preclinical studies of our other programs. We intend to use the remainder for our additional research and development activities, as well as for capital expenditures, working capital and general corporate purposes. There has been no material change in our intended use of proceeds from our IPO as described in the final prospectus for our IPO filed with the SEC pursuant to Rule 424(b) under the Securities Act on July 17, 2023.</w:t>
      </w:r>
    </w:p>
    <w:p>
      <w:pPr>
        <w:pStyle w:val="Heading1"/>
        <w:bidi w:val="0"/>
        <w:spacing w:before="360" w:after="283"/>
        <w:jc w:val="left"/>
        <w:rPr>
          <w:rFonts w:ascii="Times New Roman" w:hAnsi="Times New Roman"/>
          <w:color w:val="000000"/>
          <w:sz w:val="20"/>
        </w:rPr>
      </w:pPr>
      <w:bookmarkStart w:id="18" w:name="item_3_defaults_upon_senior_securities"/>
      <w:bookmarkEnd w:id="18"/>
      <w:r>
        <w:rPr>
          <w:rFonts w:ascii="Times New Roman" w:hAnsi="Times New Roman"/>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Heading1"/>
        <w:bidi w:val="0"/>
        <w:spacing w:before="360" w:after="283"/>
        <w:jc w:val="left"/>
        <w:rPr>
          <w:rFonts w:ascii="Times New Roman" w:hAnsi="Times New Roman"/>
          <w:color w:val="000000"/>
          <w:sz w:val="20"/>
        </w:rPr>
      </w:pPr>
      <w:bookmarkStart w:id="19" w:name="item_4_mine_safety_disclosures"/>
      <w:bookmarkEnd w:id="19"/>
      <w:r>
        <w:rPr>
          <w:rFonts w:ascii="Times New Roman" w:hAnsi="Times New Roman"/>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Heading1"/>
        <w:bidi w:val="0"/>
        <w:spacing w:before="360" w:after="283"/>
        <w:jc w:val="left"/>
        <w:rPr>
          <w:rFonts w:ascii="Times New Roman" w:hAnsi="Times New Roman"/>
          <w:color w:val="000000"/>
          <w:sz w:val="20"/>
        </w:rPr>
      </w:pPr>
      <w:bookmarkStart w:id="20" w:name="item_5_other_information"/>
      <w:bookmarkEnd w:id="20"/>
      <w:r>
        <w:rPr>
          <w:rFonts w:ascii="Times New Roman" w:hAnsi="Times New Roman"/>
          <w:color w:val="000000"/>
          <w:sz w:val="20"/>
        </w:rPr>
        <w:t>Item 5. Other Information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fiscal quarter ended June 30, 2026, no director or Section 16 officer adopted or terminated any Rule 10b5-1 trading arrangement or non-Rule 10b5-1 trading arrangement (in each case, as defined in Item 408(a) of Regulation S-K).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83"/>
        <w:jc w:val="left"/>
        <w:rPr>
          <w:rFonts w:ascii="Times New Roman" w:hAnsi="Times New Roman"/>
          <w:color w:val="000000"/>
          <w:sz w:val="20"/>
        </w:rPr>
      </w:pPr>
      <w:bookmarkStart w:id="21" w:name="item_6_exhibits"/>
      <w:bookmarkEnd w:id="21"/>
      <w:r>
        <w:rPr>
          <w:rFonts w:ascii="Times New Roman" w:hAnsi="Times New Roman"/>
          <w:color w:val="000000"/>
          <w:sz w:val="20"/>
        </w:rPr>
        <w:t>Item 6. Exhibits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The exhibits filed or furnished as part of this Quarterly Report are set forth below. </w:t>
      </w:r>
    </w:p>
    <w:tbl>
      <w:tblPr>
        <w:tblW w:w="10205" w:type="dxa"/>
        <w:jc w:val="left"/>
        <w:tblInd w:w="0" w:type="dxa"/>
        <w:tblLayout w:type="fixed"/>
        <w:tblCellMar>
          <w:top w:w="28" w:type="dxa"/>
          <w:left w:w="28" w:type="dxa"/>
          <w:bottom w:w="28" w:type="dxa"/>
          <w:right w:w="28" w:type="dxa"/>
        </w:tblCellMar>
      </w:tblPr>
      <w:tblGrid>
        <w:gridCol w:w="850"/>
        <w:gridCol w:w="146"/>
        <w:gridCol w:w="9209"/>
      </w:tblGrid>
      <w:tr>
        <w:trPr/>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9" w:type="dxa"/>
            <w:tcBorders/>
            <w:vAlign w:val="center"/>
          </w:tcPr>
          <w:p>
            <w:pPr>
              <w:pStyle w:val="TableContents"/>
              <w:bidi w:val="0"/>
              <w:spacing w:before="0" w:after="283"/>
              <w:jc w:val="left"/>
              <w:rPr>
                <w:sz w:val="4"/>
                <w:szCs w:val="4"/>
              </w:rPr>
            </w:pPr>
            <w:r>
              <w:rPr>
                <w:sz w:val="4"/>
                <w:szCs w:val="4"/>
              </w:rPr>
            </w:r>
          </w:p>
        </w:tc>
      </w:tr>
      <w:tr>
        <w:trPr/>
        <w:tc>
          <w:tcPr>
            <w:tcW w:w="8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Contribution and Exchange Agreement, effective July 13, 2023, by and among the Company and the Unit Holders named therein (filed with the SEC as Exhibit 2.1 to the Company’s Form 10-Q filed on August 28, 2023)</w:t>
              </w:r>
            </w:hyperlink>
            <w:r>
              <w:rPr>
                <w:rFonts w:ascii="Times New Roman" w:hAnsi="Times New Roman"/>
                <w:color w:val="000000"/>
                <w:sz w:val="20"/>
              </w:rPr>
              <w:t>.</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as of June 18, 2026, by and among Apogee Therapeutics, Inc., Andor LLC, Andor Merger Co., and AbbVie Inc., solely for the limited purposes set forth therein (filed with the SEC as Exhibit 2.1 to the Company’s Form 8-K filed on June 22, 2026).</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Amended and Restated Certificate of Incorporation of the Registrant (filed with the SEC as Exhibit 3.1 to the Company’s Form 10-Q filed on August 28, 2023</w:t>
              </w:r>
            </w:hyperlink>
            <w:r>
              <w:rPr>
                <w:rFonts w:ascii="Times New Roman" w:hAnsi="Times New Roman"/>
                <w:color w:val="000000"/>
                <w:sz w:val="20"/>
              </w:rPr>
              <w:t>).</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Amended and Restated Bylaws of the Registrant (filed with the SEC as Exhibit 3.2 to the Company’s Form 10-Q filed on August 28, 2023)</w:t>
              </w:r>
            </w:hyperlink>
            <w:r>
              <w:rPr>
                <w:rFonts w:ascii="Times New Roman" w:hAnsi="Times New Roman"/>
                <w:color w:val="000000"/>
                <w:sz w:val="20"/>
              </w:rPr>
              <w:t>.</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Form of Common Stock Certificate of the Registrant (filed with the SEC as Exhibit 4.1 to the Company’s Form S-1/A filed on July 3, 2023)</w:t>
              </w:r>
            </w:hyperlink>
            <w:r>
              <w:rPr>
                <w:rFonts w:ascii="Times New Roman" w:hAnsi="Times New Roman"/>
                <w:color w:val="000000"/>
                <w:sz w:val="20"/>
              </w:rPr>
              <w:t>.</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Registration Rights Agreement, dated July 13, 2023, by and among the Company and the Investors named therein (filed with the SEC as Exhibit 4.2 to the Company’s Form 10-Q filed on August 28, 2023).</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Form of Pre-Funded Warrant (filed with the SEC as Exhibit 4.1 to the Company’s Current Report on Form 8-K filed on October 10, 2025).</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w:anchor="apge-ex10_1.htm">
              <w:r>
                <w:rPr>
                  <w:rStyle w:val="InternetLink"/>
                  <w:rFonts w:ascii="Times New Roman" w:hAnsi="Times New Roman"/>
                  <w:color w:val="0000FF"/>
                  <w:sz w:val="20"/>
                  <w:u w:val="single"/>
                </w:rPr>
                <w:t>Revenue Participation Right Purchase and Sale Agreement, dated May 26, 2026, by and between the Company and Annapurna Aggregator L.P., an affiliate of funds managed by Blackstone Life Sciences.</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Antibody Discovery Agreement, dated June 17, 2026, by and between Paragon Therapeutics, Inc. and Apogee Therapeutics, Inc. (filed with the SEC as Exhibit 10.1 to the Company’s Current Report on Form 8-K filed on June 22, 2026).</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License Agreement, dated June 17, 2026, by and between Paragon Therapeutics, Inc. and Apogee Therapeutics, Inc. (filed with the SEC as Exhibit 10.2 to the Company’s Current Report on Form 8-K filed on June 22, 2026).</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w:anchor="apge-ex31_1.htm">
              <w:r>
                <w:rPr>
                  <w:rStyle w:val="InternetLink"/>
                  <w:rFonts w:ascii="Times New Roman" w:hAnsi="Times New Roman"/>
                  <w:color w:val="0000FF"/>
                  <w:sz w:val="20"/>
                  <w:u w:val="single"/>
                </w:rPr>
                <w:t>Certification of the principal executive officer pursuant to Rules 13a</w:t>
                <w:noBreakHyphen/>
                <w:t>14(a) and 15d</w:t>
                <w:noBreakHyphen/>
                <w:t>14(a) under the Securities Exchange Act of 1934</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w:anchor="apge-ex31_2.htm">
              <w:r>
                <w:rPr>
                  <w:rStyle w:val="InternetLink"/>
                  <w:rFonts w:ascii="Times New Roman" w:hAnsi="Times New Roman"/>
                  <w:color w:val="0000FF"/>
                  <w:sz w:val="20"/>
                  <w:u w:val="single"/>
                </w:rPr>
                <w:t>Certification of the principal financial officer pursuant to Rules 13a</w:t>
                <w:noBreakHyphen/>
                <w:t>14(a) and 15d</w:t>
                <w:noBreakHyphen/>
                <w:t>14(a) under the Securities Exchange Act of 1934</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pPr>
            <w:hyperlink w:anchor="apge-ex32_1.htm">
              <w:r>
                <w:rPr>
                  <w:rStyle w:val="InternetLink"/>
                  <w:rFonts w:ascii="Times New Roman" w:hAnsi="Times New Roman"/>
                  <w:color w:val="0000FF"/>
                  <w:sz w:val="20"/>
                  <w:u w:val="single"/>
                </w:rPr>
                <w:t>Certification of the principal executive officer and principal financial officer pursuant to 18 U.S.C. Section 1350 and Rule 13a</w:t>
                <w:noBreakHyphen/>
                <w:t>14(b) under the Securities Exchange Act of 1934</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Voting Agreement, dated as of June 18, 2026, by and among AbbVie Inc., Andor LLC, Andor Merger Co., Fairmount Healthcare Fund II L.P., Venrock Healthcare Capital Partners III, L.P., VHCP Co-Investment Holdings III, LLC and Venrock Healthcare Capital Partners EG, L.P. (filed with the SEC as Exhibit 99.2 to the Company’s Current Report on Form 8-K filed on June 22, 2026).</w:t>
              </w:r>
            </w:hyperlink>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Instance Document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2" w:space="1" w:color="000000"/>
        </w:pBdr>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Certain exhibits and schedules have been omitted pursuant to Item 601(b)(2) of Regulation S-K. The Company agrees to furnish supplementally to the SEC a copy of any omitted exhibits or schedules upon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Portions of the exhibit have been omitted for confidentiality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Furnished herewith and not to be deemed “filed” for purposes of Section 18 of the Securities Exchange Act of 1934, as amended (the Exchange Act) or otherwise subject to the liability of such section, and not to be deemed incorporated by reference into any filing under the Securities Act of 1933, as amended, or the Exchange Act.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36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108" w:type="dxa"/>
        <w:jc w:val="left"/>
        <w:tblInd w:w="0" w:type="dxa"/>
        <w:tblLayout w:type="fixed"/>
        <w:tblCellMar>
          <w:top w:w="28" w:type="dxa"/>
          <w:left w:w="28" w:type="dxa"/>
          <w:bottom w:w="28" w:type="dxa"/>
          <w:right w:w="28" w:type="dxa"/>
        </w:tblCellMar>
      </w:tblPr>
      <w:tblGrid>
        <w:gridCol w:w="1951"/>
        <w:gridCol w:w="406"/>
        <w:gridCol w:w="375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Apogee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Henderson,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Henderson, M.D.</w:t>
            </w:r>
          </w:p>
          <w:p>
            <w:pPr>
              <w:pStyle w:val="TableContents"/>
              <w:bidi w:val="0"/>
              <w:jc w:val="left"/>
              <w:rPr>
                <w:rFonts w:ascii="Times New Roman" w:hAnsi="Times New Roman"/>
                <w:i/>
                <w:color w:val="000000"/>
                <w:sz w:val="20"/>
              </w:rPr>
            </w:pPr>
            <w:r>
              <w:rPr>
                <w:rFonts w:ascii="Times New Roman" w:hAnsi="Times New Roman"/>
                <w:i/>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Jane Pritchett Henderson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Jane Pritchett Henderson</w:t>
            </w:r>
          </w:p>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3" w:name="apge-ex10_1.htm"/>
      <w:bookmarkStart w:id="24" w:name="ksapgeex10_1"/>
      <w:bookmarkEnd w:id="23"/>
      <w:bookmarkEnd w:id="24"/>
      <w:r>
        <w:rPr>
          <w:rFonts w:ascii="Times New Roman" w:hAnsi="Times New Roman"/>
          <w:b/>
          <w:color w:val="000000"/>
          <w:sz w:val="22"/>
        </w:rPr>
        <w:t>Exhibit 10.1</w:t>
      </w:r>
      <w:r>
        <w:br w:type="page"/>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Revenue Participation Right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Purchase and Sale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By and Between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Apogee Therapeutics,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Annapurna Aggregator L.P.</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Dated as of May 26,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8"/>
        <w:gridCol w:w="2099"/>
        <w:gridCol w:w="7190"/>
        <w:gridCol w:w="648"/>
      </w:tblGrid>
      <w:tr>
        <w:trPr/>
        <w:tc>
          <w:tcPr>
            <w:tcW w:w="268"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719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955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Page</w:t>
            </w:r>
          </w:p>
        </w:tc>
      </w:tr>
      <w:tr>
        <w:trPr/>
        <w:tc>
          <w:tcPr>
            <w:tcW w:w="955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1 DEFINITIONS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Interpretations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1.3</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Headings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955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5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2 PURCHASE, SALE AND ASSIGNMENT OF THE REVENUE PARTICIPATION RIGHT</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Sale and Assignment</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2.2</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Assumed Obligations, Etc</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True Sale</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pPr>
            <w:r>
              <w:rPr/>
              <w:t> </w:t>
            </w:r>
          </w:p>
        </w:tc>
        <w:tc>
          <w:tcPr>
            <w:tcW w:w="7190"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5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3 CLOSINGS; PAYMENT OF PURCHASE PRICE</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Initial Closing</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Upfront Purchase Price</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3.3</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Bill of Sale</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3.4</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 Form W-9</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3.5</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Buyer Form W-9</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3.6</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Opinion</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3.7</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Tranche Closings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pPr>
            <w:r>
              <w:rPr/>
              <w:t> </w:t>
            </w:r>
          </w:p>
        </w:tc>
        <w:tc>
          <w:tcPr>
            <w:tcW w:w="7190"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5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4 REPRESENTATIONS AND WARRANTIES OF THE SELLER</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Existence; Good Standing</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4.2</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4.3</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Enforceability</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4.4</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Conflicts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4.5</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Consents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4.6</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Litigation</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4.7</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Regulatory Interactions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4.8</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Licenses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4.9</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Data</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4.10</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Intellectual Property</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4.11</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to Revenue Participation Right; No Liens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4.12</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Indebtedness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4.13</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Lien Related Representation and Warranties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4.14</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 Fees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4.15</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Foreign Corrupt Practices Act</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4.16</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Data Provided</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pPr>
            <w:r>
              <w:rPr/>
              <w:t> </w:t>
            </w:r>
          </w:p>
        </w:tc>
        <w:tc>
          <w:tcPr>
            <w:tcW w:w="7190"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5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5 REPRESENTATIONS AND WARRANTIES OF THE BUYER</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Existence; Good Standing</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5.2</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5.3</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Enforceability</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5.4</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Conflicts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5.5</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Consents</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5.6</w:t>
            </w:r>
          </w:p>
        </w:tc>
        <w:tc>
          <w:tcPr>
            <w:tcW w:w="7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Litigation</w:t>
            </w:r>
          </w:p>
        </w:tc>
        <w:tc>
          <w:tcPr>
            <w:tcW w:w="6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139"/>
        <w:gridCol w:w="8513"/>
        <w:gridCol w:w="392"/>
      </w:tblGrid>
      <w:tr>
        <w:trPr/>
        <w:tc>
          <w:tcPr>
            <w:tcW w:w="16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851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5.7</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Financing</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5.8</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 Fees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13"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6 NO OTHER REPRESENTATIONS AND WARRANTIES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7 COVENANTS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 Diligence Requirements; Conduct of APG777 Phase 2 Part B Clinical Trial and the APG777 Phase 3 Clinical Trials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7.2</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Advisory Committee; Reporting</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7.3</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Revenue Payments; Revenue Payment Details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7.4</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Inspections and Audits of the Seller</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7.5</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Intellectual Property Matters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7.6</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In-Licenses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7.7</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Out-Licenses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7.8</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Disclosures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7.9</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7.10</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Change of Control</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7.11</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7.12</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Late Payments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7.13</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Preservation of Assets; Other Creditors.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7.14</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 of Security Interest</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7.15</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Debt</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13"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8 INDEMNIFICATION</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Indemnity</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8.2</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Claims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8.3</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Limitations on Liability</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8.4</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Party Claims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8.5</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Exclusive Remedy</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8.6</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Treatment of Indemnification Payments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13"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9 CONFIDENTIALITY</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9.1</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9.2</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Disclosure</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9.3</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Use of Names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13"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10 TERMINATION</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10.1</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 and Expiration; Surviving Payments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10.2</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Mutual Termination</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10.3</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Release of Liens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10.4</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Survival</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13"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11 MISCELLANEOUS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 Transfer Restrictions</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w:t>
            </w:r>
          </w:p>
        </w:tc>
        <w:tc>
          <w:tcPr>
            <w:tcW w:w="8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 and Waiver</w:t>
            </w:r>
          </w:p>
        </w:tc>
        <w:tc>
          <w:tcPr>
            <w:tcW w:w="3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tbl>
      <w:tblPr>
        <w:tblW w:w="7349" w:type="dxa"/>
        <w:jc w:val="left"/>
        <w:tblInd w:w="0" w:type="dxa"/>
        <w:tblLayout w:type="fixed"/>
        <w:tblCellMar>
          <w:top w:w="28" w:type="dxa"/>
          <w:left w:w="28" w:type="dxa"/>
          <w:bottom w:w="28" w:type="dxa"/>
          <w:right w:w="28" w:type="dxa"/>
        </w:tblCellMar>
      </w:tblPr>
      <w:tblGrid>
        <w:gridCol w:w="161"/>
        <w:gridCol w:w="1411"/>
        <w:gridCol w:w="5386"/>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11.6</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Third Party Beneficiaries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11.7</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11.8</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Jurisdiction; Venue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11.9</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11.10</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Performance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11.11</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Relationship of the Parties; Tax Treatment; Cooperation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w:t>
            </w:r>
          </w:p>
        </w:tc>
      </w:tr>
    </w:tbl>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Index of Exhibits</w:t>
      </w:r>
    </w:p>
    <w:p>
      <w:pPr>
        <w:pStyle w:val="TextBody"/>
        <w:bidi w:val="0"/>
        <w:jc w:val="left"/>
        <w:rPr/>
      </w:pPr>
      <w:r>
        <w:rPr/>
        <w:t> </w:t>
      </w:r>
    </w:p>
    <w:tbl>
      <w:tblPr>
        <w:tblW w:w="5698" w:type="dxa"/>
        <w:jc w:val="left"/>
        <w:tblInd w:w="0" w:type="dxa"/>
        <w:tblLayout w:type="fixed"/>
        <w:tblCellMar>
          <w:top w:w="28" w:type="dxa"/>
          <w:left w:w="28" w:type="dxa"/>
          <w:bottom w:w="28" w:type="dxa"/>
          <w:right w:w="28" w:type="dxa"/>
        </w:tblCellMar>
      </w:tblPr>
      <w:tblGrid>
        <w:gridCol w:w="1111"/>
        <w:gridCol w:w="4396"/>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A</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Payment Instructions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B</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Form of Bill of Sale</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C</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Form of Senior Debt Intercreditor Agreement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D</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Clinical Trial Success Criteria</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E</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Revenue Percentage Schedule</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F</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APG777 Phase3 Clinical Trials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G</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APG777 Product Rights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H</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Data Room Index</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Exhibit I</w:t>
            </w:r>
            <w:r>
              <w:rPr>
                <w:rFonts w:ascii="Times New Roman" w:hAnsi="Times New Roman"/>
                <w:color w:val="000000"/>
                <w:sz w:val="24"/>
              </w:rPr>
              <w:t>:</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CoC Scenarios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REVENUE PARTICIPATION RIGHT PURCHASE AND SALE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REVENUE PARTICIPATION RIGHT </w:t>
      </w:r>
      <w:r>
        <w:rPr>
          <w:rFonts w:ascii="Times New Roman" w:hAnsi="Times New Roman"/>
          <w:caps/>
          <w:color w:val="000000"/>
          <w:sz w:val="24"/>
        </w:rPr>
        <w:t>purchase and sale</w:t>
      </w:r>
      <w:r>
        <w:rPr>
          <w:rFonts w:ascii="Times New Roman" w:hAnsi="Times New Roman"/>
          <w:color w:val="000000"/>
          <w:sz w:val="20"/>
        </w:rPr>
        <w:t xml:space="preserve"> </w:t>
      </w:r>
      <w:r>
        <w:rPr>
          <w:rFonts w:ascii="Times New Roman" w:hAnsi="Times New Roman"/>
          <w:color w:val="000000"/>
          <w:sz w:val="24"/>
        </w:rPr>
        <w:t>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dated as of May 26, 2026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is made and entered into by and between Annapurna Aggregator L.P., a Delaware limited partnership (the “</w:t>
      </w:r>
      <w:r>
        <w:rPr>
          <w:rFonts w:ascii="Times New Roman" w:hAnsi="Times New Roman"/>
          <w:color w:val="000000"/>
          <w:sz w:val="24"/>
          <w:u w:val="single"/>
        </w:rPr>
        <w:t>Buyer</w:t>
      </w:r>
      <w:r>
        <w:rPr>
          <w:rFonts w:ascii="Times New Roman" w:hAnsi="Times New Roman"/>
          <w:color w:val="000000"/>
          <w:sz w:val="20"/>
        </w:rPr>
        <w:t>”</w:t>
      </w:r>
      <w:r>
        <w:rPr>
          <w:rFonts w:ascii="Times New Roman" w:hAnsi="Times New Roman"/>
          <w:color w:val="000000"/>
          <w:sz w:val="24"/>
        </w:rPr>
        <w:t>), and Apogee Therapeutics, Inc., a Delaware corporation (the “</w:t>
      </w:r>
      <w:r>
        <w:rPr>
          <w:rFonts w:ascii="Times New Roman" w:hAnsi="Times New Roman"/>
          <w:color w:val="000000"/>
          <w:sz w:val="24"/>
          <w:u w:val="single"/>
        </w:rPr>
        <w:t>Seller</w:t>
      </w:r>
      <w:r>
        <w:rPr>
          <w:rFonts w:ascii="Times New Roman" w:hAnsi="Times New Roman"/>
          <w:color w:val="000000"/>
          <w:sz w:val="20"/>
        </w:rPr>
        <w:t xml:space="preserve">” </w:t>
      </w:r>
      <w:r>
        <w:rPr>
          <w:rFonts w:ascii="Times New Roman" w:hAnsi="Times New Roman"/>
          <w:color w:val="000000"/>
          <w:sz w:val="24"/>
        </w:rPr>
        <w:t>and the Buyer and the Seller, each a “Party”).</w:t>
      </w:r>
    </w:p>
    <w:p>
      <w:pPr>
        <w:pStyle w:val="TextBody"/>
        <w:bidi w:val="0"/>
        <w:spacing w:before="0" w:after="240"/>
        <w:jc w:val="center"/>
        <w:rPr>
          <w:rFonts w:ascii="Times New Roman" w:hAnsi="Times New Roman"/>
          <w:sz w:val="20"/>
        </w:rPr>
      </w:pPr>
      <w:r>
        <w:rPr>
          <w:rFonts w:ascii="Times New Roman" w:hAnsi="Times New Roman"/>
          <w:color w:val="000000"/>
          <w:sz w:val="24"/>
          <w:u w:val="single"/>
        </w:rPr>
        <w:t>W I T N E S S E T H</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Seller is in the business of, among other things, developing and Commercializing the Products;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Buyer desires to purchase the Initial Revenue Participation Right and the Tranche 4 Incremental Revenue Participation Right and receive the Revenue Payments from the Seller, in each case on the terms and conditions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Seller desires to use the proceeds from the Upfront Purchase Price and, if funded, each of the Tranche 2 Purchase Price and the Tranche 3 Purchase Price, for the clinical development of APG777;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Seller desires to sell the Initial Revenue Participation Right and the Tranche 4 Incremental Revenue Participation Right and make the Revenue Payments to the Buyer, in each case on the terms and conditions set forth in this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representations, warranties, covenants and agreements set forth herein and for good and valuable consideration, the receipt and adequacy of which are hereby acknowledged, the Seller and the Buyer hereby agree as follows:</w:t>
      </w:r>
    </w:p>
    <w:p>
      <w:pPr>
        <w:pStyle w:val="TextBody"/>
        <w:bidi w:val="0"/>
        <w:jc w:val="center"/>
        <w:rPr>
          <w:rFonts w:ascii="Times New Roman" w:hAnsi="Times New Roman"/>
          <w:caps/>
          <w:color w:val="010000"/>
          <w:sz w:val="24"/>
          <w:u w:val="single"/>
        </w:rPr>
      </w:pPr>
      <w:r>
        <w:rPr>
          <w:rFonts w:ascii="Times New Roman" w:hAnsi="Times New Roman"/>
          <w:caps/>
          <w:color w:val="010000"/>
          <w:sz w:val="24"/>
          <w:u w:val="single"/>
        </w:rPr>
        <w:t>ARTICLE 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DEFINITIONS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u w:val="single"/>
        </w:rPr>
        <w:t>Definitions</w:t>
      </w:r>
      <w:r>
        <w:rPr>
          <w:rFonts w:ascii="Times New Roman" w:hAnsi="Times New Roman"/>
          <w:color w:val="000000"/>
          <w:sz w:val="24"/>
        </w:rPr>
        <w:t>. The following terms, as used herein, shall have the following meanings:</w:t>
      </w:r>
    </w:p>
    <w:p>
      <w:pPr>
        <w:pStyle w:val="TextBody"/>
        <w:bidi w:val="0"/>
        <w:spacing w:before="0" w:after="240"/>
        <w:jc w:val="both"/>
        <w:rPr/>
      </w:pPr>
      <w:r>
        <w:rPr>
          <w:color w:val="000000"/>
        </w:rPr>
        <w:t>“</w:t>
      </w:r>
      <w:r>
        <w:rPr>
          <w:rFonts w:ascii="Times New Roman" w:hAnsi="Times New Roman"/>
          <w:color w:val="000000"/>
          <w:sz w:val="24"/>
          <w:u w:val="single"/>
        </w:rPr>
        <w:t>Acquirer</w:t>
      </w:r>
      <w:r>
        <w:rPr>
          <w:rFonts w:ascii="Times New Roman" w:hAnsi="Times New Roman"/>
          <w:color w:val="000000"/>
          <w:sz w:val="20"/>
        </w:rPr>
        <w:t xml:space="preserve">” </w:t>
      </w:r>
      <w:r>
        <w:rPr>
          <w:rFonts w:ascii="Times New Roman" w:hAnsi="Times New Roman"/>
          <w:color w:val="000000"/>
          <w:sz w:val="24"/>
        </w:rPr>
        <w:t>means, collectively, the Third Party referenced in the definition of “Change of Control” and such Third Party’s Affiliates, other than the Seller and Seller’s Affiliates immediately prior to the closing of such Change of Control.</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any particular Person, any other Person directly or indirectly controlling, controlled by or under common control with such particular Person. For purposes of this definition of “Affiliate,” the term “control” means direct or indirect ownership of (a) fifty percent (50%) or more, including ownership by trusts with substantially the same beneficial interests, of the voting and equity rights of such Person, firm, trust, corporation, partnership or other entity or combination thereof, or (b) the power to direct the management of such Person, firm, trust, corporation, partnership or other entity or combination thereof, by contract or otherwise. For purposes hereof, any Person shall be deemed to control a partnership, limited liability company, association or other business entity if such Person,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 Notwithstanding any provision to the contrary in this Agreement, Affiliates of Buyer will not include any portfolio companies of an investment management fund, private equity fund, venture capital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fund or registered investment company now or hereafter existing that is controlled by one (1) or more general partners, managing members or investment advisers of, or shares the same management company or investment adviser with, Buyer.</w:t>
      </w:r>
    </w:p>
    <w:p>
      <w:pPr>
        <w:pStyle w:val="TextBody"/>
        <w:bidi w:val="0"/>
        <w:spacing w:before="0" w:after="240"/>
        <w:jc w:val="both"/>
        <w:rPr/>
      </w:pPr>
      <w:r>
        <w:rPr>
          <w:color w:val="000000"/>
        </w:rPr>
        <w:t>“</w:t>
      </w:r>
      <w:r>
        <w:rPr>
          <w:rFonts w:ascii="Times New Roman" w:hAnsi="Times New Roman"/>
          <w:color w:val="000000"/>
          <w:sz w:val="24"/>
          <w:u w:val="single"/>
        </w:rPr>
        <w:t>AD</w:t>
      </w:r>
      <w:r>
        <w:rPr>
          <w:rFonts w:ascii="Times New Roman" w:hAnsi="Times New Roman"/>
          <w:color w:val="000000"/>
          <w:sz w:val="20"/>
        </w:rPr>
        <w:t xml:space="preserve">” </w:t>
      </w:r>
      <w:r>
        <w:rPr>
          <w:rFonts w:ascii="Times New Roman" w:hAnsi="Times New Roman"/>
          <w:color w:val="000000"/>
          <w:sz w:val="24"/>
        </w:rPr>
        <w:t>means atopic dermatitis.</w:t>
      </w:r>
    </w:p>
    <w:p>
      <w:pPr>
        <w:pStyle w:val="TextBody"/>
        <w:bidi w:val="0"/>
        <w:spacing w:before="0" w:after="240"/>
        <w:jc w:val="both"/>
        <w:rPr/>
      </w:pPr>
      <w:r>
        <w:rPr>
          <w:color w:val="000000"/>
        </w:rPr>
        <w:t>“</w:t>
      </w:r>
      <w:r>
        <w:rPr>
          <w:rFonts w:ascii="Times New Roman" w:hAnsi="Times New Roman"/>
          <w:color w:val="000000"/>
          <w:sz w:val="24"/>
          <w:u w:val="single"/>
        </w:rPr>
        <w:t>Additional Monetization</w:t>
      </w:r>
      <w:r>
        <w:rPr>
          <w:rFonts w:ascii="Times New Roman" w:hAnsi="Times New Roman"/>
          <w:color w:val="000000"/>
          <w:sz w:val="20"/>
        </w:rPr>
        <w:t xml:space="preserve">” </w:t>
      </w:r>
      <w:r>
        <w:rPr>
          <w:rFonts w:ascii="Times New Roman" w:hAnsi="Times New Roman"/>
          <w:color w:val="000000"/>
          <w:sz w:val="24"/>
        </w:rPr>
        <w:t>is defined in Section 7.13(b).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is defined in the preamble.</w:t>
      </w:r>
    </w:p>
    <w:p>
      <w:pPr>
        <w:pStyle w:val="TextBody"/>
        <w:bidi w:val="0"/>
        <w:spacing w:before="0" w:after="240"/>
        <w:jc w:val="both"/>
        <w:rPr/>
      </w:pPr>
      <w:r>
        <w:rPr>
          <w:color w:val="000000"/>
        </w:rPr>
        <w:t>“</w:t>
      </w:r>
      <w:r>
        <w:rPr>
          <w:rFonts w:ascii="Times New Roman" w:hAnsi="Times New Roman"/>
          <w:color w:val="000000"/>
          <w:sz w:val="24"/>
          <w:u w:val="single"/>
        </w:rPr>
        <w:t>Annual Aggregate Product Net Sales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Exhibit 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APG777</w:t>
      </w:r>
      <w:r>
        <w:rPr>
          <w:rFonts w:ascii="Times New Roman" w:hAnsi="Times New Roman"/>
          <w:color w:val="000000"/>
          <w:sz w:val="20"/>
        </w:rPr>
        <w:t xml:space="preserve">” </w:t>
      </w:r>
      <w:r>
        <w:rPr>
          <w:rFonts w:ascii="Times New Roman" w:hAnsi="Times New Roman"/>
          <w:color w:val="000000"/>
          <w:sz w:val="24"/>
        </w:rPr>
        <w:t>means the antibody that specifically binds to and inhibits interleukin-13 (IL-13), coded by the Seller as of the Effective Date as APG777 or zumilokibart (APG777).</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APG777 Phase 2 Part B Clinical Trial</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APG777 Phase3 Clinical Trials</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APG777 Product Rights</w:t>
      </w:r>
      <w:r>
        <w:rPr>
          <w:rFonts w:ascii="Times New Roman" w:hAnsi="Times New Roman"/>
          <w:color w:val="000000"/>
          <w:sz w:val="20"/>
        </w:rPr>
        <w:t xml:space="preserve">” </w:t>
      </w:r>
      <w:r>
        <w:rPr>
          <w:rFonts w:ascii="Times New Roman" w:hAnsi="Times New Roman"/>
          <w:color w:val="000000"/>
          <w:sz w:val="24"/>
        </w:rPr>
        <w:t xml:space="preserve">means any and all of the following, as they exist throughout the world: (a) the Intellectual Property Rights specifically related to, or necessary or actually used for the Manufacture or Exploitation of, any Product containing APG777, (b) regulatory filings, submissions and approvals, including Marketing Approvals and pricing and reimbursement approvals, with or from any Regulatory Authorities related to APG777, (c) In-Licenses related to APG777 and (d) Out-Licenses specifically related to APG777, and in each case, including those existing as of the Effective Date as set forth on </w:t>
      </w:r>
      <w:r>
        <w:rPr>
          <w:rFonts w:ascii="Times New Roman" w:hAnsi="Times New Roman"/>
          <w:color w:val="000000"/>
          <w:sz w:val="24"/>
          <w:u w:val="single"/>
        </w:rPr>
        <w:t>Exhibit G</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Audit Arbitrator</w:t>
      </w:r>
      <w:r>
        <w:rPr>
          <w:rFonts w:ascii="Times New Roman" w:hAnsi="Times New Roman"/>
          <w:color w:val="000000"/>
          <w:sz w:val="20"/>
        </w:rPr>
        <w:t xml:space="preserve">” </w:t>
      </w:r>
      <w:r>
        <w:rPr>
          <w:rFonts w:ascii="Times New Roman" w:hAnsi="Times New Roman"/>
          <w:color w:val="000000"/>
          <w:sz w:val="24"/>
        </w:rPr>
        <w:t>is defined in Section 7.4(d).</w:t>
      </w:r>
    </w:p>
    <w:p>
      <w:pPr>
        <w:pStyle w:val="TextBody"/>
        <w:bidi w:val="0"/>
        <w:spacing w:before="0" w:after="240"/>
        <w:jc w:val="both"/>
        <w:rPr/>
      </w:pPr>
      <w:r>
        <w:rPr>
          <w:color w:val="000000"/>
        </w:rPr>
        <w:t>“</w:t>
      </w:r>
      <w:r>
        <w:rPr>
          <w:rFonts w:ascii="Times New Roman" w:hAnsi="Times New Roman"/>
          <w:color w:val="000000"/>
          <w:sz w:val="24"/>
          <w:u w:val="single"/>
        </w:rPr>
        <w:t>Back-Up Security Interest</w:t>
      </w:r>
      <w:r>
        <w:rPr>
          <w:rFonts w:ascii="Times New Roman" w:hAnsi="Times New Roman"/>
          <w:color w:val="000000"/>
          <w:sz w:val="20"/>
        </w:rPr>
        <w:t xml:space="preserve">” </w:t>
      </w:r>
      <w:r>
        <w:rPr>
          <w:rFonts w:ascii="Times New Roman" w:hAnsi="Times New Roman"/>
          <w:color w:val="000000"/>
          <w:sz w:val="24"/>
        </w:rPr>
        <w:t>is defined in Section 2.3.</w:t>
      </w:r>
    </w:p>
    <w:p>
      <w:pPr>
        <w:pStyle w:val="TextBody"/>
        <w:bidi w:val="0"/>
        <w:spacing w:before="0" w:after="240"/>
        <w:jc w:val="both"/>
        <w:rPr/>
      </w:pPr>
      <w:r>
        <w:rPr>
          <w:color w:val="000000"/>
        </w:rPr>
        <w:t>“</w:t>
      </w:r>
      <w:r>
        <w:rPr>
          <w:rFonts w:ascii="Times New Roman" w:hAnsi="Times New Roman"/>
          <w:color w:val="000000"/>
          <w:sz w:val="24"/>
          <w:u w:val="single"/>
        </w:rPr>
        <w:t>Bankruptcy Laws</w:t>
      </w:r>
      <w:r>
        <w:rPr>
          <w:rFonts w:ascii="Times New Roman" w:hAnsi="Times New Roman"/>
          <w:color w:val="000000"/>
          <w:sz w:val="20"/>
        </w:rPr>
        <w:t xml:space="preserve">” </w:t>
      </w:r>
      <w:r>
        <w:rPr>
          <w:rFonts w:ascii="Times New Roman" w:hAnsi="Times New Roman"/>
          <w:color w:val="000000"/>
          <w:sz w:val="24"/>
        </w:rPr>
        <w:t>means, collectively, bankruptcy, insolvency, reorganization, moratorium, fraudulent conveyance, fraudulent transfer or other similar laws affecting the enforcement of creditors’ rights generally.</w:t>
      </w:r>
    </w:p>
    <w:p>
      <w:pPr>
        <w:pStyle w:val="TextBody"/>
        <w:bidi w:val="0"/>
        <w:spacing w:before="0" w:after="240"/>
        <w:jc w:val="both"/>
        <w:rPr/>
      </w:pPr>
      <w:r>
        <w:rPr>
          <w:color w:val="000000"/>
        </w:rPr>
        <w:t>“</w:t>
      </w:r>
      <w:r>
        <w:rPr>
          <w:rFonts w:ascii="Times New Roman" w:hAnsi="Times New Roman"/>
          <w:color w:val="000000"/>
          <w:sz w:val="24"/>
          <w:u w:val="single"/>
        </w:rPr>
        <w:t>Base Revenue Percentage</w:t>
      </w:r>
      <w:r>
        <w:rPr>
          <w:rFonts w:ascii="Times New Roman" w:hAnsi="Times New Roman"/>
          <w:color w:val="000000"/>
          <w:sz w:val="20"/>
        </w:rPr>
        <w:t xml:space="preserve">” </w:t>
      </w:r>
      <w:r>
        <w:rPr>
          <w:rFonts w:ascii="Times New Roman" w:hAnsi="Times New Roman"/>
          <w:color w:val="000000"/>
          <w:sz w:val="24"/>
        </w:rPr>
        <w:t xml:space="preserve">means the rates in respect of Annual Aggregate Product Net Sales set forth in the “Base Revenue Percentage” column on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 xml:space="preserve">(subject to proportional adjustment in accordance with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if the Buyer receives a CoC Optional Payment).</w:t>
      </w:r>
    </w:p>
    <w:p>
      <w:pPr>
        <w:pStyle w:val="TextBody"/>
        <w:bidi w:val="0"/>
        <w:spacing w:before="0" w:after="240"/>
        <w:jc w:val="both"/>
        <w:rPr/>
      </w:pPr>
      <w:r>
        <w:rPr>
          <w:color w:val="000000"/>
        </w:rPr>
        <w:t>“</w:t>
      </w:r>
      <w:r>
        <w:rPr>
          <w:rFonts w:ascii="Times New Roman" w:hAnsi="Times New Roman"/>
          <w:color w:val="000000"/>
          <w:sz w:val="24"/>
          <w:u w:val="single"/>
        </w:rPr>
        <w:t>Bill of Sale</w:t>
      </w:r>
      <w:r>
        <w:rPr>
          <w:rFonts w:ascii="Times New Roman" w:hAnsi="Times New Roman"/>
          <w:color w:val="000000"/>
          <w:sz w:val="20"/>
        </w:rPr>
        <w:t xml:space="preserve">” </w:t>
      </w:r>
      <w:r>
        <w:rPr>
          <w:rFonts w:ascii="Times New Roman" w:hAnsi="Times New Roman"/>
          <w:color w:val="000000"/>
          <w:sz w:val="24"/>
        </w:rPr>
        <w:t>is defined in Section 3.3.</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other than (a) a Saturday or Sunday or (b) a day on which banking institutions located in New York are permitted or required by applicable law or regulation to remain closed.</w:t>
      </w:r>
    </w:p>
    <w:p>
      <w:pPr>
        <w:pStyle w:val="TextBody"/>
        <w:bidi w:val="0"/>
        <w:spacing w:before="0" w:after="240"/>
        <w:jc w:val="both"/>
        <w:rPr/>
      </w:pPr>
      <w:r>
        <w:rPr>
          <w:color w:val="000000"/>
        </w:rPr>
        <w:t>“</w:t>
      </w:r>
      <w:r>
        <w:rPr>
          <w:rFonts w:ascii="Times New Roman" w:hAnsi="Times New Roman"/>
          <w:color w:val="000000"/>
          <w:sz w:val="24"/>
          <w:u w:val="single"/>
        </w:rPr>
        <w:t>Buy-Back Option</w:t>
      </w:r>
      <w:r>
        <w:rPr>
          <w:rFonts w:ascii="Times New Roman" w:hAnsi="Times New Roman"/>
          <w:color w:val="000000"/>
          <w:sz w:val="20"/>
        </w:rPr>
        <w:t xml:space="preserve">” </w:t>
      </w:r>
      <w:r>
        <w:rPr>
          <w:rFonts w:ascii="Times New Roman" w:hAnsi="Times New Roman"/>
          <w:color w:val="000000"/>
          <w:sz w:val="24"/>
        </w:rPr>
        <w:t>is defined in Section 7.10(b).</w:t>
      </w:r>
    </w:p>
    <w:p>
      <w:pPr>
        <w:pStyle w:val="TextBody"/>
        <w:bidi w:val="0"/>
        <w:spacing w:before="0" w:after="240"/>
        <w:jc w:val="both"/>
        <w:rPr/>
      </w:pPr>
      <w:r>
        <w:rPr>
          <w:color w:val="000000"/>
        </w:rPr>
        <w:t>“</w:t>
      </w:r>
      <w:r>
        <w:rPr>
          <w:rFonts w:ascii="Times New Roman" w:hAnsi="Times New Roman"/>
          <w:color w:val="000000"/>
          <w:sz w:val="24"/>
          <w:u w:val="single"/>
        </w:rPr>
        <w:t>Buy-Back Requirement</w:t>
      </w:r>
      <w:r>
        <w:rPr>
          <w:rFonts w:ascii="Times New Roman" w:hAnsi="Times New Roman"/>
          <w:color w:val="000000"/>
          <w:sz w:val="20"/>
        </w:rPr>
        <w:t xml:space="preserve">” </w:t>
      </w:r>
      <w:r>
        <w:rPr>
          <w:rFonts w:ascii="Times New Roman" w:hAnsi="Times New Roman"/>
          <w:color w:val="000000"/>
          <w:sz w:val="24"/>
        </w:rPr>
        <w:t>is defined in Section 7.10(a).</w:t>
      </w:r>
    </w:p>
    <w:p>
      <w:pPr>
        <w:pStyle w:val="TextBody"/>
        <w:bidi w:val="0"/>
        <w:spacing w:before="0" w:after="240"/>
        <w:jc w:val="both"/>
        <w:rPr/>
      </w:pPr>
      <w:r>
        <w:rPr>
          <w:color w:val="000000"/>
        </w:rPr>
        <w:t>“</w:t>
      </w:r>
      <w:r>
        <w:rPr>
          <w:rFonts w:ascii="Times New Roman" w:hAnsi="Times New Roman"/>
          <w:color w:val="000000"/>
          <w:sz w:val="24"/>
          <w:u w:val="single"/>
        </w:rPr>
        <w:t>Buyer</w:t>
      </w:r>
      <w:r>
        <w:rPr>
          <w:rFonts w:ascii="Times New Roman" w:hAnsi="Times New Roman"/>
          <w:color w:val="000000"/>
          <w:sz w:val="20"/>
        </w:rPr>
        <w:t xml:space="preserve">” </w:t>
      </w:r>
      <w:r>
        <w:rPr>
          <w:rFonts w:ascii="Times New Roman" w:hAnsi="Times New Roman"/>
          <w:color w:val="000000"/>
          <w:sz w:val="24"/>
        </w:rPr>
        <w:t>is defined in the preamble.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Buyer Indemnified Parties</w:t>
      </w:r>
      <w:r>
        <w:rPr>
          <w:rFonts w:ascii="Times New Roman" w:hAnsi="Times New Roman"/>
          <w:color w:val="000000"/>
          <w:sz w:val="20"/>
        </w:rPr>
        <w:t xml:space="preserve">” </w:t>
      </w:r>
      <w:r>
        <w:rPr>
          <w:rFonts w:ascii="Times New Roman" w:hAnsi="Times New Roman"/>
          <w:color w:val="000000"/>
          <w:sz w:val="24"/>
        </w:rPr>
        <w:t>is defined in Section 8.1(a).</w:t>
      </w:r>
    </w:p>
    <w:p>
      <w:pPr>
        <w:pStyle w:val="TextBody"/>
        <w:bidi w:val="0"/>
        <w:spacing w:before="0" w:after="240"/>
        <w:jc w:val="both"/>
        <w:rPr/>
      </w:pPr>
      <w:r>
        <w:rPr>
          <w:color w:val="000000"/>
        </w:rPr>
        <w:t>“</w:t>
      </w:r>
      <w:r>
        <w:rPr>
          <w:rFonts w:ascii="Times New Roman" w:hAnsi="Times New Roman"/>
          <w:color w:val="000000"/>
          <w:sz w:val="24"/>
          <w:u w:val="single"/>
        </w:rPr>
        <w:t>Calendar Quarter</w:t>
      </w:r>
      <w:r>
        <w:rPr>
          <w:rFonts w:ascii="Times New Roman" w:hAnsi="Times New Roman"/>
          <w:color w:val="000000"/>
          <w:sz w:val="20"/>
        </w:rPr>
        <w:t xml:space="preserve">” </w:t>
      </w:r>
      <w:r>
        <w:rPr>
          <w:rFonts w:ascii="Times New Roman" w:hAnsi="Times New Roman"/>
          <w:color w:val="000000"/>
          <w:sz w:val="24"/>
        </w:rPr>
        <w:t>means a period of three (3) consecutive months ending on the last day of March, June, September, or December, respectively.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Calendar Year</w:t>
      </w:r>
      <w:r>
        <w:rPr>
          <w:rFonts w:ascii="Times New Roman" w:hAnsi="Times New Roman"/>
          <w:color w:val="000000"/>
          <w:sz w:val="20"/>
        </w:rPr>
        <w:t xml:space="preserve">” </w:t>
      </w:r>
      <w:r>
        <w:rPr>
          <w:rFonts w:ascii="Times New Roman" w:hAnsi="Times New Roman"/>
          <w:color w:val="000000"/>
          <w:sz w:val="24"/>
        </w:rPr>
        <w:t>means a period of twelve (12) consecutive months commencing on January 1 of any year.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CDx Agreement</w:t>
      </w:r>
      <w:r>
        <w:rPr>
          <w:rFonts w:ascii="Times New Roman" w:hAnsi="Times New Roman"/>
          <w:color w:val="000000"/>
          <w:sz w:val="20"/>
        </w:rPr>
        <w:t xml:space="preserve">” </w:t>
      </w:r>
      <w:r>
        <w:rPr>
          <w:rFonts w:ascii="Times New Roman" w:hAnsi="Times New Roman"/>
          <w:color w:val="000000"/>
          <w:sz w:val="24"/>
        </w:rPr>
        <w:t>means any agreement or arrangement between the Seller or any of its Affiliates, on the one hand, and any Third Party, on the other hand, for the development or commercialization of companion diagnostics for use with a Product.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Change of Control</w:t>
      </w:r>
      <w:r>
        <w:rPr>
          <w:rFonts w:ascii="Times New Roman" w:hAnsi="Times New Roman"/>
          <w:color w:val="000000"/>
          <w:sz w:val="20"/>
        </w:rPr>
        <w:t xml:space="preserve">” </w:t>
      </w:r>
      <w:r>
        <w:rPr>
          <w:rFonts w:ascii="Times New Roman" w:hAnsi="Times New Roman"/>
          <w:color w:val="000000"/>
          <w:sz w:val="24"/>
        </w:rPr>
        <w:t>means (a) a transaction or series of related transactions that results in the sale or other disposition of all or substantially all of the Seller’s and its Affiliates’ assets to a Third Party, on a consolidated basis; (b) a merger or consolidation of the Seller (or a parent entity) with a Third Party in which the Seller (or a parent entity) is not the surviving corporation or in which, if the Seller (or its parent entity) is the surviving corporation, the stockholders of the Seller (or its parent entity) immediately prior to the consummation of such merger or consolidation do not, immediately after consummation of such merger or consolidation, possess, directly or indirectly through one or more intermediaries, and acting jointly, a majority of the voting power of all of the surviving entity’s outstanding stock and other securities and the power to elect a majority of the members of the Seller’s (or its parent entity’s) board of directors (or equivalent governing body); or (c) a transaction or series of related transactions with one or more Third Parties (which may include a tender offer for the Seller’s (or its parent entity’s) stock or the issuance, sale or exchange of stock of the Seller (or its parent entity)) if the stockholders of the Seller (or its parent entity) immediately prior to such transaction(s) do not, immediately after consummation of such transaction(s), possess, directly or indirectly through one or more intermediaries, and acting jointly, a majority of the voting power of all of the Seller’s (or its parent entity’s) or its successor’s outstanding stock and other securities and the power to elect a majority of the members of the Seller’s (or its parent entity’s) or its successor’s board of directors (or equivalent governing body).</w:t>
      </w:r>
    </w:p>
    <w:p>
      <w:pPr>
        <w:pStyle w:val="TextBody"/>
        <w:bidi w:val="0"/>
        <w:spacing w:before="0" w:after="240"/>
        <w:jc w:val="both"/>
        <w:rPr/>
      </w:pPr>
      <w:r>
        <w:rPr>
          <w:color w:val="000000"/>
        </w:rPr>
        <w:t>“</w:t>
      </w:r>
      <w:r>
        <w:rPr>
          <w:rFonts w:ascii="Times New Roman" w:hAnsi="Times New Roman"/>
          <w:color w:val="000000"/>
          <w:sz w:val="24"/>
          <w:u w:val="single"/>
        </w:rPr>
        <w:t>Claim</w:t>
      </w:r>
      <w:r>
        <w:rPr>
          <w:rFonts w:ascii="Times New Roman" w:hAnsi="Times New Roman"/>
          <w:color w:val="000000"/>
          <w:sz w:val="20"/>
        </w:rPr>
        <w:t xml:space="preserve">” </w:t>
      </w:r>
      <w:r>
        <w:rPr>
          <w:rFonts w:ascii="Times New Roman" w:hAnsi="Times New Roman"/>
          <w:color w:val="000000"/>
          <w:sz w:val="24"/>
        </w:rPr>
        <w:t>means any Third Party claim, demand, suit or cause of action.</w:t>
      </w:r>
    </w:p>
    <w:p>
      <w:pPr>
        <w:pStyle w:val="TextBody"/>
        <w:bidi w:val="0"/>
        <w:spacing w:before="0" w:after="240"/>
        <w:jc w:val="both"/>
        <w:rPr/>
      </w:pPr>
      <w:r>
        <w:rPr>
          <w:color w:val="000000"/>
        </w:rPr>
        <w:t>“</w:t>
      </w:r>
      <w:r>
        <w:rPr>
          <w:rFonts w:ascii="Times New Roman" w:hAnsi="Times New Roman"/>
          <w:color w:val="000000"/>
          <w:sz w:val="24"/>
          <w:u w:val="single"/>
        </w:rPr>
        <w:t>Clinical Trial</w:t>
      </w:r>
      <w:r>
        <w:rPr>
          <w:rFonts w:ascii="Times New Roman" w:hAnsi="Times New Roman"/>
          <w:color w:val="000000"/>
          <w:sz w:val="20"/>
        </w:rPr>
        <w:t xml:space="preserve">” </w:t>
      </w:r>
      <w:r>
        <w:rPr>
          <w:rFonts w:ascii="Times New Roman" w:hAnsi="Times New Roman"/>
          <w:color w:val="000000"/>
          <w:sz w:val="24"/>
        </w:rPr>
        <w:t>means a clinical study involving human subjects intended to support the Marketing Approval or Commercialization of a Product.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CoC 180 Payment</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CoC 2030 Payment</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CoC Optional Payment</w:t>
      </w:r>
      <w:r>
        <w:rPr>
          <w:rFonts w:ascii="Times New Roman" w:hAnsi="Times New Roman"/>
          <w:color w:val="000000"/>
          <w:sz w:val="20"/>
        </w:rPr>
        <w:t xml:space="preserve">” </w:t>
      </w:r>
      <w:r>
        <w:rPr>
          <w:rFonts w:ascii="Times New Roman" w:hAnsi="Times New Roman"/>
          <w:color w:val="000000"/>
          <w:sz w:val="24"/>
        </w:rPr>
        <w:t>means the CoC 180 Payment or the CoC 2030 Payment, as applicable.</w:t>
      </w:r>
    </w:p>
    <w:p>
      <w:pPr>
        <w:pStyle w:val="TextBody"/>
        <w:bidi w:val="0"/>
        <w:spacing w:before="0" w:after="240"/>
        <w:jc w:val="both"/>
        <w:rPr/>
      </w:pPr>
      <w:r>
        <w:rPr>
          <w:color w:val="000000"/>
        </w:rPr>
        <w:t>“</w:t>
      </w:r>
      <w:r>
        <w:rPr>
          <w:rFonts w:ascii="Times New Roman" w:hAnsi="Times New Roman"/>
          <w:color w:val="000000"/>
          <w:sz w:val="24"/>
          <w:u w:val="single"/>
        </w:rPr>
        <w:t>CoC Required Payment</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CMC Activities</w:t>
      </w:r>
      <w:r>
        <w:rPr>
          <w:rFonts w:ascii="Times New Roman" w:hAnsi="Times New Roman"/>
          <w:color w:val="000000"/>
          <w:sz w:val="20"/>
        </w:rPr>
        <w:t xml:space="preserve">” </w:t>
      </w:r>
      <w:r>
        <w:rPr>
          <w:rFonts w:ascii="Times New Roman" w:hAnsi="Times New Roman"/>
          <w:color w:val="000000"/>
          <w:sz w:val="24"/>
        </w:rPr>
        <w:t>means those manufacturing activities and regulatory activities designed to support preparation of the chemistry, manufacturing and controls sections of any regulatory materials or Marketing Approval for the Products.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Combination Product</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Commercialization</w:t>
      </w:r>
      <w:r>
        <w:rPr>
          <w:rFonts w:ascii="Times New Roman" w:hAnsi="Times New Roman"/>
          <w:color w:val="000000"/>
          <w:sz w:val="20"/>
        </w:rPr>
        <w:t xml:space="preserve">” </w:t>
      </w:r>
      <w:r>
        <w:rPr>
          <w:rFonts w:ascii="Times New Roman" w:hAnsi="Times New Roman"/>
          <w:color w:val="000000"/>
          <w:sz w:val="24"/>
        </w:rPr>
        <w:t>means any and all activities directed to the marketing, detailing, promotion, commercial launching, selling and securing of reimbursement of a product (including using, importing, selling and offering for sale of the product ), and shall include post-Marketing Approval studies, post-launch marketing, promoting, detailing, marketing research, customer service, selling a product, importing, exporting, and regulatory compliance with respect to the foregoing. When used as a verb, “</w:t>
      </w:r>
      <w:r>
        <w:rPr>
          <w:rFonts w:ascii="Times New Roman" w:hAnsi="Times New Roman"/>
          <w:color w:val="000000"/>
          <w:sz w:val="24"/>
          <w:u w:val="single"/>
        </w:rPr>
        <w:t>Commercialize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Commercializing</w:t>
      </w:r>
      <w:r>
        <w:rPr>
          <w:rFonts w:ascii="Times New Roman" w:hAnsi="Times New Roman"/>
          <w:color w:val="000000"/>
          <w:sz w:val="20"/>
        </w:rPr>
        <w:t xml:space="preserve">” </w:t>
      </w:r>
      <w:r>
        <w:rPr>
          <w:rFonts w:ascii="Times New Roman" w:hAnsi="Times New Roman"/>
          <w:color w:val="000000"/>
          <w:sz w:val="24"/>
        </w:rPr>
        <w:t>shall mean to engage in Commercialization. For clarity, “</w:t>
      </w:r>
      <w:r>
        <w:rPr>
          <w:rFonts w:ascii="Times New Roman" w:hAnsi="Times New Roman"/>
          <w:color w:val="000000"/>
          <w:sz w:val="24"/>
          <w:u w:val="single"/>
        </w:rPr>
        <w:t>Commercialization</w:t>
      </w:r>
      <w:r>
        <w:rPr>
          <w:rFonts w:ascii="Times New Roman" w:hAnsi="Times New Roman"/>
          <w:color w:val="000000"/>
          <w:sz w:val="20"/>
        </w:rPr>
        <w:t xml:space="preserve">” </w:t>
      </w:r>
      <w:r>
        <w:rPr>
          <w:rFonts w:ascii="Times New Roman" w:hAnsi="Times New Roman"/>
          <w:color w:val="000000"/>
          <w:sz w:val="24"/>
        </w:rPr>
        <w:t>excludes Manufacturing activities.</w:t>
      </w:r>
    </w:p>
    <w:p>
      <w:pPr>
        <w:pStyle w:val="TextBody"/>
        <w:bidi w:val="0"/>
        <w:spacing w:before="0" w:after="240"/>
        <w:jc w:val="both"/>
        <w:rPr/>
      </w:pPr>
      <w:r>
        <w:rPr>
          <w:color w:val="000000"/>
        </w:rPr>
        <w:t>“</w:t>
      </w:r>
      <w:r>
        <w:rPr>
          <w:rFonts w:ascii="Times New Roman" w:hAnsi="Times New Roman"/>
          <w:color w:val="000000"/>
          <w:sz w:val="24"/>
          <w:u w:val="single"/>
        </w:rPr>
        <w:t>Commercially Reasonable Efforts</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is defined in Section 9.1.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Contract Manufacturing Agreement</w:t>
      </w:r>
      <w:r>
        <w:rPr>
          <w:rFonts w:ascii="Times New Roman" w:hAnsi="Times New Roman"/>
          <w:color w:val="000000"/>
          <w:sz w:val="20"/>
        </w:rPr>
        <w:t xml:space="preserve">” </w:t>
      </w:r>
      <w:r>
        <w:rPr>
          <w:rFonts w:ascii="Times New Roman" w:hAnsi="Times New Roman"/>
          <w:color w:val="000000"/>
          <w:sz w:val="24"/>
        </w:rPr>
        <w:t>means any agreement or arrangement between the Seller or any of its Affiliates and any Third Party for the Manufacture of a Product, including bulk drug product, bulk drug substance and finished product, for Commercialization.</w:t>
      </w:r>
    </w:p>
    <w:p>
      <w:pPr>
        <w:pStyle w:val="TextBody"/>
        <w:bidi w:val="0"/>
        <w:spacing w:before="0" w:after="240"/>
        <w:jc w:val="both"/>
        <w:rPr/>
      </w:pPr>
      <w:r>
        <w:rPr>
          <w:color w:val="000000"/>
        </w:rPr>
        <w:t>“</w:t>
      </w:r>
      <w:r>
        <w:rPr>
          <w:rFonts w:ascii="Times New Roman" w:hAnsi="Times New Roman"/>
          <w:color w:val="000000"/>
          <w:sz w:val="24"/>
          <w:u w:val="single"/>
        </w:rPr>
        <w:t>Customary Additional Monetization Senior Intercreditor Agreement</w:t>
      </w:r>
      <w:r>
        <w:rPr>
          <w:rFonts w:ascii="Times New Roman" w:hAnsi="Times New Roman"/>
          <w:color w:val="000000"/>
          <w:sz w:val="20"/>
        </w:rPr>
        <w:t xml:space="preserve">” </w:t>
      </w:r>
      <w:r>
        <w:rPr>
          <w:rFonts w:ascii="Times New Roman" w:hAnsi="Times New Roman"/>
          <w:color w:val="000000"/>
          <w:sz w:val="24"/>
        </w:rPr>
        <w:t>means, with respect to any Additional Monetization at any time during which Senior Debt is outstanding, such customary intercreditor agreement in form and substance that is reasonably satisfactory to the Seller, the Buyer, and the provider of Additional Monetization and the holder of Senior Debt of each applicable facility [ * * * ].</w:t>
      </w:r>
    </w:p>
    <w:p>
      <w:pPr>
        <w:pStyle w:val="TextBody"/>
        <w:bidi w:val="0"/>
        <w:spacing w:before="0" w:after="240"/>
        <w:jc w:val="both"/>
        <w:rPr/>
      </w:pPr>
      <w:r>
        <w:rPr>
          <w:color w:val="000000"/>
        </w:rPr>
        <w:t>“</w:t>
      </w:r>
      <w:r>
        <w:rPr>
          <w:rFonts w:ascii="Times New Roman" w:hAnsi="Times New Roman"/>
          <w:color w:val="000000"/>
          <w:sz w:val="24"/>
          <w:u w:val="single"/>
        </w:rPr>
        <w:t>Customary Additional Monetization Junior Intercreditor Agreement</w:t>
      </w:r>
      <w:r>
        <w:rPr>
          <w:rFonts w:ascii="Times New Roman" w:hAnsi="Times New Roman"/>
          <w:color w:val="000000"/>
          <w:sz w:val="20"/>
        </w:rPr>
        <w:t xml:space="preserve">” </w:t>
      </w:r>
      <w:r>
        <w:rPr>
          <w:rFonts w:ascii="Times New Roman" w:hAnsi="Times New Roman"/>
          <w:color w:val="000000"/>
          <w:sz w:val="24"/>
        </w:rPr>
        <w:t>means, with respect to any Additional Monetization, such customary intercreditor agreement in form and substance that is reasonably satisfactory to the Seller, the Buyer and the provider of Additional Monetization [ * * * ].</w:t>
      </w:r>
    </w:p>
    <w:p>
      <w:pPr>
        <w:pStyle w:val="TextBody"/>
        <w:bidi w:val="0"/>
        <w:spacing w:before="0" w:after="240"/>
        <w:jc w:val="both"/>
        <w:rPr/>
      </w:pPr>
      <w:r>
        <w:rPr>
          <w:color w:val="000000"/>
        </w:rPr>
        <w:t>“</w:t>
      </w:r>
      <w:r>
        <w:rPr>
          <w:rFonts w:ascii="Times New Roman" w:hAnsi="Times New Roman"/>
          <w:color w:val="000000"/>
          <w:sz w:val="24"/>
          <w:u w:val="single"/>
        </w:rPr>
        <w:t>Customary Senior Debt Intercreditor Agreement</w:t>
      </w:r>
      <w:r>
        <w:rPr>
          <w:rFonts w:ascii="Times New Roman" w:hAnsi="Times New Roman"/>
          <w:color w:val="000000"/>
          <w:sz w:val="20"/>
        </w:rPr>
        <w:t xml:space="preserve">” </w:t>
      </w:r>
      <w:r>
        <w:rPr>
          <w:rFonts w:ascii="Times New Roman" w:hAnsi="Times New Roman"/>
          <w:color w:val="000000"/>
          <w:sz w:val="24"/>
        </w:rPr>
        <w:t xml:space="preserve">means, with respect to any Senior Debt, (a) an intercreditor agreement with substantially the same terms as the form of Senior Debt Intercreditor Agreement attached hereto as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or (b) such other customary intercreditor agreement in form and substance that is reasonably satisfactory to the Seller, the Buyer and the holder of such Senior Debt, [ * * * ].</w:t>
      </w:r>
    </w:p>
    <w:p>
      <w:pPr>
        <w:pStyle w:val="TextBody"/>
        <w:bidi w:val="0"/>
        <w:spacing w:before="0" w:after="240"/>
        <w:jc w:val="both"/>
        <w:rPr/>
      </w:pPr>
      <w:r>
        <w:rPr>
          <w:color w:val="000000"/>
        </w:rPr>
        <w:t>“</w:t>
      </w:r>
      <w:r>
        <w:rPr>
          <w:rFonts w:ascii="Times New Roman" w:hAnsi="Times New Roman"/>
          <w:color w:val="000000"/>
          <w:sz w:val="24"/>
          <w:u w:val="single"/>
        </w:rPr>
        <w:t>Data Room</w:t>
      </w:r>
      <w:r>
        <w:rPr>
          <w:rFonts w:ascii="Times New Roman" w:hAnsi="Times New Roman"/>
          <w:color w:val="000000"/>
          <w:sz w:val="20"/>
        </w:rPr>
        <w:t xml:space="preserve">” </w:t>
      </w:r>
      <w:r>
        <w:rPr>
          <w:rFonts w:ascii="Times New Roman" w:hAnsi="Times New Roman"/>
          <w:color w:val="000000"/>
          <w:sz w:val="24"/>
        </w:rPr>
        <w:t>means that certain electronic data room established by Seller and hosted on [ * * * ], and to which Buyer was granted access prior to the Effective Date.</w:t>
      </w:r>
    </w:p>
    <w:p>
      <w:pPr>
        <w:pStyle w:val="TextBody"/>
        <w:bidi w:val="0"/>
        <w:spacing w:before="0" w:after="240"/>
        <w:jc w:val="both"/>
        <w:rPr/>
      </w:pPr>
      <w:r>
        <w:rPr>
          <w:color w:val="000000"/>
        </w:rPr>
        <w:t>“</w:t>
      </w:r>
      <w:r>
        <w:rPr>
          <w:rFonts w:ascii="Times New Roman" w:hAnsi="Times New Roman"/>
          <w:color w:val="000000"/>
          <w:sz w:val="24"/>
          <w:u w:val="single"/>
        </w:rPr>
        <w:t>Disclosing Party</w:t>
      </w:r>
      <w:r>
        <w:rPr>
          <w:rFonts w:ascii="Times New Roman" w:hAnsi="Times New Roman"/>
          <w:color w:val="000000"/>
          <w:sz w:val="20"/>
        </w:rPr>
        <w:t xml:space="preserve">” </w:t>
      </w:r>
      <w:r>
        <w:rPr>
          <w:rFonts w:ascii="Times New Roman" w:hAnsi="Times New Roman"/>
          <w:color w:val="000000"/>
          <w:sz w:val="24"/>
        </w:rPr>
        <w:t>is defined in Section 9.1.</w:t>
      </w:r>
    </w:p>
    <w:p>
      <w:pPr>
        <w:pStyle w:val="TextBody"/>
        <w:bidi w:val="0"/>
        <w:spacing w:before="0" w:after="240"/>
        <w:jc w:val="both"/>
        <w:rPr/>
      </w:pPr>
      <w:r>
        <w:rPr>
          <w:color w:val="000000"/>
        </w:rPr>
        <w:t>“</w:t>
      </w:r>
      <w:r>
        <w:rPr>
          <w:rFonts w:ascii="Times New Roman" w:hAnsi="Times New Roman"/>
          <w:color w:val="000000"/>
          <w:sz w:val="24"/>
          <w:u w:val="single"/>
        </w:rPr>
        <w:t>Disclosure Schedule</w:t>
      </w:r>
      <w:r>
        <w:rPr>
          <w:rFonts w:ascii="Times New Roman" w:hAnsi="Times New Roman"/>
          <w:color w:val="000000"/>
          <w:sz w:val="20"/>
        </w:rPr>
        <w:t xml:space="preserve">” </w:t>
      </w:r>
      <w:r>
        <w:rPr>
          <w:rFonts w:ascii="Times New Roman" w:hAnsi="Times New Roman"/>
          <w:color w:val="000000"/>
          <w:sz w:val="24"/>
        </w:rPr>
        <w:t>means the Disclosure Schedule, dated as of the Effective Date, delivered to the Buyer by the Seller concurrently with the execution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is defined in the preamble.</w:t>
      </w:r>
    </w:p>
    <w:p>
      <w:pPr>
        <w:pStyle w:val="TextBody"/>
        <w:bidi w:val="0"/>
        <w:spacing w:before="0" w:after="240"/>
        <w:jc w:val="both"/>
        <w:rPr/>
      </w:pPr>
      <w:r>
        <w:rPr>
          <w:color w:val="000000"/>
        </w:rPr>
        <w:t>“</w:t>
      </w:r>
      <w:r>
        <w:rPr>
          <w:rFonts w:ascii="Times New Roman" w:hAnsi="Times New Roman"/>
          <w:color w:val="000000"/>
          <w:sz w:val="24"/>
          <w:u w:val="single"/>
        </w:rPr>
        <w:t>EMA</w:t>
      </w:r>
      <w:r>
        <w:rPr>
          <w:rFonts w:ascii="Times New Roman" w:hAnsi="Times New Roman"/>
          <w:color w:val="000000"/>
          <w:sz w:val="20"/>
        </w:rPr>
        <w:t xml:space="preserve">” </w:t>
      </w:r>
      <w:r>
        <w:rPr>
          <w:rFonts w:ascii="Times New Roman" w:hAnsi="Times New Roman"/>
          <w:color w:val="000000"/>
          <w:sz w:val="24"/>
        </w:rPr>
        <w:t>means the European Medicines Agency, or any successor agency thereto.</w:t>
      </w:r>
    </w:p>
    <w:p>
      <w:pPr>
        <w:pStyle w:val="TextBody"/>
        <w:bidi w:val="0"/>
        <w:spacing w:before="0" w:after="240"/>
        <w:jc w:val="both"/>
        <w:rPr/>
      </w:pPr>
      <w:r>
        <w:rPr>
          <w:color w:val="000000"/>
        </w:rPr>
        <w:t>“</w:t>
      </w:r>
      <w:r>
        <w:rPr>
          <w:rFonts w:ascii="Times New Roman" w:hAnsi="Times New Roman"/>
          <w:color w:val="000000"/>
          <w:sz w:val="24"/>
          <w:u w:val="single"/>
        </w:rPr>
        <w:t>European Union</w:t>
      </w:r>
      <w:r>
        <w:rPr>
          <w:rFonts w:ascii="Times New Roman" w:hAnsi="Times New Roman"/>
          <w:color w:val="000000"/>
          <w:sz w:val="20"/>
        </w:rPr>
        <w:t xml:space="preserve">” </w:t>
      </w:r>
      <w:r>
        <w:rPr>
          <w:rFonts w:ascii="Times New Roman" w:hAnsi="Times New Roman"/>
          <w:color w:val="000000"/>
          <w:sz w:val="24"/>
        </w:rPr>
        <w:t>means the countries of the European Union, as it is constituted on the Effective Date and as it may be modified from time to time after the Effective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Existing Patents</w:t>
      </w:r>
      <w:r>
        <w:rPr>
          <w:rFonts w:ascii="Times New Roman" w:hAnsi="Times New Roman"/>
          <w:color w:val="000000"/>
          <w:sz w:val="20"/>
        </w:rPr>
        <w:t xml:space="preserve">” </w:t>
      </w:r>
      <w:r>
        <w:rPr>
          <w:rFonts w:ascii="Times New Roman" w:hAnsi="Times New Roman"/>
          <w:color w:val="000000"/>
          <w:sz w:val="24"/>
        </w:rPr>
        <w:t>has the meaning set forth in Section 4.10(a).</w:t>
      </w:r>
    </w:p>
    <w:p>
      <w:pPr>
        <w:pStyle w:val="TextBody"/>
        <w:bidi w:val="0"/>
        <w:spacing w:before="0" w:after="240"/>
        <w:jc w:val="both"/>
        <w:rPr/>
      </w:pPr>
      <w:r>
        <w:rPr>
          <w:color w:val="000000"/>
        </w:rPr>
        <w:t>“</w:t>
      </w:r>
      <w:r>
        <w:rPr>
          <w:rFonts w:ascii="Times New Roman" w:hAnsi="Times New Roman"/>
          <w:color w:val="000000"/>
          <w:sz w:val="24"/>
          <w:u w:val="single"/>
        </w:rPr>
        <w:t>Exploitation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Exploit</w:t>
      </w:r>
      <w:r>
        <w:rPr>
          <w:rFonts w:ascii="Times New Roman" w:hAnsi="Times New Roman"/>
          <w:color w:val="000000"/>
          <w:sz w:val="20"/>
        </w:rPr>
        <w:t xml:space="preserve">” </w:t>
      </w:r>
      <w:r>
        <w:rPr>
          <w:rFonts w:ascii="Times New Roman" w:hAnsi="Times New Roman"/>
          <w:color w:val="000000"/>
          <w:sz w:val="24"/>
        </w:rPr>
        <w:t>means any and all activities directed to the research, development, importation, exportation, use, registration, modification, enhancement, improvement, optimization, seeking of Marketing Approvals and pricing and reimbursement approvals for, Commercialization, or other exploitation of a Product. “</w:t>
      </w:r>
      <w:r>
        <w:rPr>
          <w:rFonts w:ascii="Times New Roman" w:hAnsi="Times New Roman"/>
          <w:color w:val="000000"/>
          <w:sz w:val="24"/>
          <w:u w:val="single"/>
        </w:rPr>
        <w:t>Exploitation</w:t>
      </w:r>
      <w:r>
        <w:rPr>
          <w:rFonts w:ascii="Times New Roman" w:hAnsi="Times New Roman"/>
          <w:color w:val="000000"/>
          <w:sz w:val="20"/>
        </w:rPr>
        <w:t xml:space="preserve">” </w:t>
      </w:r>
      <w:r>
        <w:rPr>
          <w:rFonts w:ascii="Times New Roman" w:hAnsi="Times New Roman"/>
          <w:color w:val="000000"/>
          <w:sz w:val="24"/>
        </w:rPr>
        <w:t>excludes Manufacturing activities.</w:t>
      </w:r>
    </w:p>
    <w:p>
      <w:pPr>
        <w:pStyle w:val="TextBody"/>
        <w:bidi w:val="0"/>
        <w:spacing w:before="0" w:after="240"/>
        <w:jc w:val="both"/>
        <w:rPr/>
      </w:pPr>
      <w:r>
        <w:rPr>
          <w:color w:val="000000"/>
        </w:rPr>
        <w:t>“</w:t>
      </w:r>
      <w:r>
        <w:rPr>
          <w:rFonts w:ascii="Times New Roman" w:hAnsi="Times New Roman"/>
          <w:color w:val="000000"/>
          <w:sz w:val="24"/>
          <w:u w:val="single"/>
        </w:rPr>
        <w:t>FCPA</w:t>
      </w:r>
      <w:r>
        <w:rPr>
          <w:rFonts w:ascii="Times New Roman" w:hAnsi="Times New Roman"/>
          <w:color w:val="000000"/>
          <w:sz w:val="20"/>
        </w:rPr>
        <w:t xml:space="preserve">” </w:t>
      </w:r>
      <w:r>
        <w:rPr>
          <w:rFonts w:ascii="Times New Roman" w:hAnsi="Times New Roman"/>
          <w:color w:val="000000"/>
          <w:sz w:val="24"/>
        </w:rPr>
        <w:t>is defined in Section 4.15.</w:t>
      </w:r>
    </w:p>
    <w:p>
      <w:pPr>
        <w:pStyle w:val="TextBody"/>
        <w:bidi w:val="0"/>
        <w:spacing w:before="0" w:after="240"/>
        <w:jc w:val="both"/>
        <w:rPr/>
      </w:pPr>
      <w:r>
        <w:rPr>
          <w:color w:val="000000"/>
        </w:rPr>
        <w:t>“</w:t>
      </w:r>
      <w:r>
        <w:rPr>
          <w:rFonts w:ascii="Times New Roman" w:hAnsi="Times New Roman"/>
          <w:color w:val="000000"/>
          <w:sz w:val="24"/>
          <w:u w:val="single"/>
        </w:rPr>
        <w:t>FDA</w:t>
      </w:r>
      <w:r>
        <w:rPr>
          <w:rFonts w:ascii="Times New Roman" w:hAnsi="Times New Roman"/>
          <w:color w:val="000000"/>
          <w:sz w:val="20"/>
        </w:rPr>
        <w:t xml:space="preserve">” </w:t>
      </w:r>
      <w:r>
        <w:rPr>
          <w:rFonts w:ascii="Times New Roman" w:hAnsi="Times New Roman"/>
          <w:color w:val="000000"/>
          <w:sz w:val="24"/>
        </w:rPr>
        <w:t>means the U.S. Food and Drug Administration, or any successor agency thereto.</w:t>
      </w:r>
    </w:p>
    <w:p>
      <w:pPr>
        <w:pStyle w:val="TextBody"/>
        <w:bidi w:val="0"/>
        <w:spacing w:before="0" w:after="240"/>
        <w:jc w:val="both"/>
        <w:rPr/>
      </w:pPr>
      <w:r>
        <w:rPr>
          <w:color w:val="000000"/>
        </w:rPr>
        <w:t>“</w:t>
      </w:r>
      <w:r>
        <w:rPr>
          <w:rFonts w:ascii="Times New Roman" w:hAnsi="Times New Roman"/>
          <w:color w:val="000000"/>
          <w:sz w:val="24"/>
          <w:u w:val="single"/>
        </w:rPr>
        <w:t>First Commercial Sale</w:t>
      </w:r>
      <w:r>
        <w:rPr>
          <w:rFonts w:ascii="Times New Roman" w:hAnsi="Times New Roman"/>
          <w:color w:val="000000"/>
          <w:sz w:val="20"/>
        </w:rPr>
        <w:t xml:space="preserve">” </w:t>
      </w:r>
      <w:r>
        <w:rPr>
          <w:rFonts w:ascii="Times New Roman" w:hAnsi="Times New Roman"/>
          <w:color w:val="000000"/>
          <w:sz w:val="24"/>
        </w:rPr>
        <w:t>means, with respect to a Product, the first sale that will result in any Net Sales in any jurisdiction of the world after Marketing Approval of such Product has been granted in such jurisdiction, or after marketing and sale of such Product is otherwise permitted in such jurisdiction, by the applicable Regulatory Authority.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as consistently applied by the applicable Related Party in accordance with its implemented accounting practices.</w:t>
      </w:r>
    </w:p>
    <w:p>
      <w:pPr>
        <w:pStyle w:val="TextBody"/>
        <w:bidi w:val="0"/>
        <w:spacing w:before="0" w:after="240"/>
        <w:jc w:val="both"/>
        <w:rPr/>
      </w:pPr>
      <w:r>
        <w:rPr>
          <w:color w:val="000000"/>
        </w:rPr>
        <w:t>“</w:t>
      </w:r>
      <w:r>
        <w:rPr>
          <w:rFonts w:ascii="Times New Roman" w:hAnsi="Times New Roman"/>
          <w:color w:val="000000"/>
          <w:sz w:val="24"/>
          <w:u w:val="single"/>
        </w:rPr>
        <w:t>Governmental Entity</w:t>
      </w:r>
      <w:r>
        <w:rPr>
          <w:rFonts w:ascii="Times New Roman" w:hAnsi="Times New Roman"/>
          <w:color w:val="000000"/>
          <w:sz w:val="20"/>
        </w:rPr>
        <w:t xml:space="preserve">” </w:t>
      </w:r>
      <w:r>
        <w:rPr>
          <w:rFonts w:ascii="Times New Roman" w:hAnsi="Times New Roman"/>
          <w:color w:val="000000"/>
          <w:sz w:val="24"/>
        </w:rPr>
        <w:t>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pStyle w:val="TextBody"/>
        <w:bidi w:val="0"/>
        <w:spacing w:before="0" w:after="240"/>
        <w:jc w:val="both"/>
        <w:rPr/>
      </w:pPr>
      <w:r>
        <w:rPr>
          <w:color w:val="000000"/>
        </w:rPr>
        <w:t>“</w:t>
      </w:r>
      <w:r>
        <w:rPr>
          <w:rFonts w:ascii="Times New Roman" w:hAnsi="Times New Roman"/>
          <w:color w:val="000000"/>
          <w:sz w:val="24"/>
          <w:u w:val="single"/>
        </w:rPr>
        <w:t>Gross Sales</w:t>
      </w:r>
      <w:r>
        <w:rPr>
          <w:rFonts w:ascii="Times New Roman" w:hAnsi="Times New Roman"/>
          <w:color w:val="000000"/>
          <w:sz w:val="20"/>
        </w:rPr>
        <w:t xml:space="preserve">” </w:t>
      </w:r>
      <w:r>
        <w:rPr>
          <w:rFonts w:ascii="Times New Roman" w:hAnsi="Times New Roman"/>
          <w:color w:val="000000"/>
          <w:sz w:val="24"/>
        </w:rPr>
        <w:t>is defined in the definition of “Net Sales”.</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means any indebtedness for borrowed money, obligation evidenced by a note, bond, debenture or similar instrument, or guarantee of any of the foregoing.</w:t>
      </w:r>
    </w:p>
    <w:p>
      <w:pPr>
        <w:pStyle w:val="TextBody"/>
        <w:bidi w:val="0"/>
        <w:spacing w:before="0" w:after="24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is defined in Section 8.2.</w:t>
      </w:r>
    </w:p>
    <w:p>
      <w:pPr>
        <w:pStyle w:val="TextBody"/>
        <w:bidi w:val="0"/>
        <w:spacing w:before="0" w:after="240"/>
        <w:jc w:val="both"/>
        <w:rPr/>
      </w:pPr>
      <w:r>
        <w:rPr>
          <w:color w:val="000000"/>
        </w:rPr>
        <w:t>“</w:t>
      </w:r>
      <w:r>
        <w:rPr>
          <w:rFonts w:ascii="Times New Roman" w:hAnsi="Times New Roman"/>
          <w:color w:val="000000"/>
          <w:sz w:val="24"/>
          <w:u w:val="single"/>
        </w:rPr>
        <w:t>Indemnifying Party</w:t>
      </w:r>
      <w:r>
        <w:rPr>
          <w:rFonts w:ascii="Times New Roman" w:hAnsi="Times New Roman"/>
          <w:color w:val="000000"/>
          <w:sz w:val="20"/>
        </w:rPr>
        <w:t xml:space="preserve">” </w:t>
      </w:r>
      <w:r>
        <w:rPr>
          <w:rFonts w:ascii="Times New Roman" w:hAnsi="Times New Roman"/>
          <w:color w:val="000000"/>
          <w:sz w:val="24"/>
        </w:rPr>
        <w:t>is defined in Section 8.2.</w:t>
      </w:r>
    </w:p>
    <w:p>
      <w:pPr>
        <w:pStyle w:val="TextBody"/>
        <w:bidi w:val="0"/>
        <w:spacing w:before="0" w:after="240"/>
        <w:jc w:val="both"/>
        <w:rPr/>
      </w:pPr>
      <w:r>
        <w:rPr>
          <w:color w:val="000000"/>
        </w:rPr>
        <w:t>“</w:t>
      </w:r>
      <w:r>
        <w:rPr>
          <w:rFonts w:ascii="Times New Roman" w:hAnsi="Times New Roman"/>
          <w:color w:val="000000"/>
          <w:sz w:val="24"/>
          <w:u w:val="single"/>
        </w:rPr>
        <w:t>Initial Closing Date</w:t>
      </w:r>
      <w:r>
        <w:rPr>
          <w:rFonts w:ascii="Times New Roman" w:hAnsi="Times New Roman"/>
          <w:color w:val="000000"/>
          <w:sz w:val="20"/>
        </w:rPr>
        <w:t xml:space="preserve">” </w:t>
      </w:r>
      <w:r>
        <w:rPr>
          <w:rFonts w:ascii="Times New Roman" w:hAnsi="Times New Roman"/>
          <w:color w:val="000000"/>
          <w:sz w:val="24"/>
        </w:rPr>
        <w:t>is defined in Section 3.1.</w:t>
      </w:r>
    </w:p>
    <w:p>
      <w:pPr>
        <w:pStyle w:val="TextBody"/>
        <w:bidi w:val="0"/>
        <w:spacing w:before="0" w:after="240"/>
        <w:jc w:val="both"/>
        <w:rPr/>
      </w:pPr>
      <w:r>
        <w:rPr>
          <w:color w:val="000000"/>
        </w:rPr>
        <w:t>“</w:t>
      </w:r>
      <w:r>
        <w:rPr>
          <w:rFonts w:ascii="Times New Roman" w:hAnsi="Times New Roman"/>
          <w:color w:val="000000"/>
          <w:sz w:val="24"/>
          <w:u w:val="single"/>
        </w:rPr>
        <w:t>Initial Revenue Participation Right</w:t>
      </w:r>
      <w:r>
        <w:rPr>
          <w:rFonts w:ascii="Times New Roman" w:hAnsi="Times New Roman"/>
          <w:color w:val="000000"/>
          <w:sz w:val="20"/>
        </w:rPr>
        <w:t xml:space="preserve">” </w:t>
      </w:r>
      <w:r>
        <w:rPr>
          <w:rFonts w:ascii="Times New Roman" w:hAnsi="Times New Roman"/>
          <w:color w:val="000000"/>
          <w:sz w:val="24"/>
        </w:rPr>
        <w:t>means the Revenue Participation Right in respect of the Base Revenue Percentage.</w:t>
      </w:r>
    </w:p>
    <w:p>
      <w:pPr>
        <w:pStyle w:val="TextBody"/>
        <w:bidi w:val="0"/>
        <w:spacing w:before="0" w:after="240"/>
        <w:jc w:val="both"/>
        <w:rPr/>
      </w:pPr>
      <w:r>
        <w:rPr>
          <w:color w:val="000000"/>
        </w:rPr>
        <w:t>“</w:t>
      </w:r>
      <w:r>
        <w:rPr>
          <w:rFonts w:ascii="Times New Roman" w:hAnsi="Times New Roman"/>
          <w:color w:val="000000"/>
          <w:sz w:val="24"/>
          <w:u w:val="single"/>
        </w:rPr>
        <w:t>In-License</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left"/>
        <w:rPr/>
      </w:pPr>
      <w:r>
        <w:rPr>
          <w:color w:val="000000"/>
        </w:rPr>
        <w:t>“</w:t>
      </w:r>
      <w:r>
        <w:rPr>
          <w:rFonts w:ascii="Times New Roman" w:hAnsi="Times New Roman"/>
          <w:color w:val="000000"/>
          <w:sz w:val="24"/>
        </w:rPr>
        <w:t>Intellectual Property Rights” means any and all of the following owned or in-licensed by the Seller or its Affiliates or their respective Licensees, as they exist throughout the world at any time: (a) the Patent Rights; (b) rights in registered and unregistered trademarks, service marks, trade names, trade dress, logos, packaging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design, slogans and Internet domain names, and registrations and applications for registration of any of the foregoing, in each case, as specifically related to any Product; (c) copyrights in both published and unpublished works, including all compilations, databases and computer programs, manuals and other documentation and all copyright registrations and applications, and all derivatives, translations, adaptations and combinations of the above, in each case, as specifically related to any Product; (d) rights in all Know-How specifically related to any Product or necessary or actually used for the Manufacture or Exploitation of any Product; (e) any and all other intellectual property rights or proprietary rights, whether or not patentable, specifically relating to any of the foregoing ((a)-(d)); and (f) intellectual property rights in regulatory filings, submissions, applications, registrations and approvals specifically related to any Product</w:t>
      </w:r>
    </w:p>
    <w:p>
      <w:pPr>
        <w:pStyle w:val="TextBody"/>
        <w:bidi w:val="0"/>
        <w:spacing w:before="0" w:after="240"/>
        <w:jc w:val="both"/>
        <w:rPr/>
      </w:pPr>
      <w:r>
        <w:rPr>
          <w:color w:val="000000"/>
        </w:rPr>
        <w:t>“</w:t>
      </w:r>
      <w:r>
        <w:rPr>
          <w:rFonts w:ascii="Times New Roman" w:hAnsi="Times New Roman"/>
          <w:color w:val="000000"/>
          <w:sz w:val="24"/>
          <w:u w:val="single"/>
        </w:rPr>
        <w:t>Judgment</w:t>
      </w:r>
      <w:r>
        <w:rPr>
          <w:rFonts w:ascii="Times New Roman" w:hAnsi="Times New Roman"/>
          <w:color w:val="000000"/>
          <w:sz w:val="20"/>
        </w:rPr>
        <w:t xml:space="preserve">” </w:t>
      </w:r>
      <w:r>
        <w:rPr>
          <w:rFonts w:ascii="Times New Roman" w:hAnsi="Times New Roman"/>
          <w:color w:val="000000"/>
          <w:sz w:val="24"/>
        </w:rPr>
        <w:t>means any judgment, order, writ, injunction, citation, award or decree of any nature.</w:t>
      </w:r>
    </w:p>
    <w:p>
      <w:pPr>
        <w:pStyle w:val="TextBody"/>
        <w:bidi w:val="0"/>
        <w:spacing w:before="0" w:after="240"/>
        <w:jc w:val="both"/>
        <w:rPr/>
      </w:pPr>
      <w:r>
        <w:rPr>
          <w:color w:val="000000"/>
        </w:rPr>
        <w:t>“</w:t>
      </w:r>
      <w:r>
        <w:rPr>
          <w:rFonts w:ascii="Times New Roman" w:hAnsi="Times New Roman"/>
          <w:color w:val="000000"/>
          <w:sz w:val="24"/>
          <w:u w:val="single"/>
        </w:rPr>
        <w:t>Know-How</w:t>
      </w:r>
      <w:r>
        <w:rPr>
          <w:rFonts w:ascii="Times New Roman" w:hAnsi="Times New Roman"/>
          <w:color w:val="000000"/>
          <w:sz w:val="20"/>
        </w:rPr>
        <w:t xml:space="preserve">” </w:t>
      </w:r>
      <w:r>
        <w:rPr>
          <w:rFonts w:ascii="Times New Roman" w:hAnsi="Times New Roman"/>
          <w:color w:val="000000"/>
          <w:sz w:val="24"/>
        </w:rPr>
        <w:t>means any and all proprietary or confidential information, know-how and trade secrets, including processes, formulae, models and techniques, rights in research in progress, algorithms, data, databases, data collections, chemical and biological materials (including any compounds, DNA, RNA, clones, vectors, cells and any expression product, progeny, derivatives or improvements thereto), and the results of experimentation and testing, and samples.</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a claim, mortgage, deed of trust, levy, charge, pledge, security interest or other encumbrance of any kind or assignment for security purposes, whether voluntarily incurred or arising by operation of law or otherwise against any property or assets.</w:t>
      </w:r>
    </w:p>
    <w:p>
      <w:pPr>
        <w:pStyle w:val="TextBody"/>
        <w:bidi w:val="0"/>
        <w:spacing w:before="0" w:after="240"/>
        <w:jc w:val="both"/>
        <w:rPr/>
      </w:pPr>
      <w:r>
        <w:rPr>
          <w:color w:val="000000"/>
        </w:rPr>
        <w:t>“</w:t>
      </w:r>
      <w:r>
        <w:rPr>
          <w:rFonts w:ascii="Times New Roman" w:hAnsi="Times New Roman"/>
          <w:color w:val="000000"/>
          <w:sz w:val="24"/>
          <w:u w:val="single"/>
        </w:rPr>
        <w:t>Lien Termination Date</w:t>
      </w:r>
      <w:r>
        <w:rPr>
          <w:rFonts w:ascii="Times New Roman" w:hAnsi="Times New Roman"/>
          <w:color w:val="000000"/>
          <w:sz w:val="20"/>
        </w:rPr>
        <w:t xml:space="preserve">” </w:t>
      </w:r>
      <w:r>
        <w:rPr>
          <w:rFonts w:ascii="Times New Roman" w:hAnsi="Times New Roman"/>
          <w:color w:val="000000"/>
          <w:sz w:val="24"/>
        </w:rPr>
        <w:t>is defined in Section 7.14.</w:t>
      </w:r>
    </w:p>
    <w:p>
      <w:pPr>
        <w:pStyle w:val="TextBody"/>
        <w:bidi w:val="0"/>
        <w:spacing w:before="0" w:after="240"/>
        <w:jc w:val="both"/>
        <w:rPr/>
      </w:pPr>
      <w:r>
        <w:rPr>
          <w:color w:val="000000"/>
        </w:rPr>
        <w:t>“</w:t>
      </w:r>
      <w:r>
        <w:rPr>
          <w:rFonts w:ascii="Times New Roman" w:hAnsi="Times New Roman"/>
          <w:color w:val="000000"/>
          <w:sz w:val="24"/>
          <w:u w:val="single"/>
        </w:rPr>
        <w:t>Licensee</w:t>
      </w:r>
      <w:r>
        <w:rPr>
          <w:rFonts w:ascii="Times New Roman" w:hAnsi="Times New Roman"/>
          <w:color w:val="000000"/>
          <w:sz w:val="20"/>
        </w:rPr>
        <w:t xml:space="preserve">” </w:t>
      </w:r>
      <w:r>
        <w:rPr>
          <w:rFonts w:ascii="Times New Roman" w:hAnsi="Times New Roman"/>
          <w:color w:val="000000"/>
          <w:sz w:val="24"/>
        </w:rPr>
        <w:t>means any Third Party that is a counterparty to an Out-License, or any downstream (sub)licensee of such Third Party under such Out-License.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Logistics Agreement</w:t>
      </w:r>
      <w:r>
        <w:rPr>
          <w:rFonts w:ascii="Times New Roman" w:hAnsi="Times New Roman"/>
          <w:color w:val="000000"/>
          <w:sz w:val="20"/>
        </w:rPr>
        <w:t xml:space="preserve">” </w:t>
      </w:r>
      <w:r>
        <w:rPr>
          <w:rFonts w:ascii="Times New Roman" w:hAnsi="Times New Roman"/>
          <w:color w:val="000000"/>
          <w:sz w:val="24"/>
        </w:rPr>
        <w:t>means any agreement between the Seller or any of its Affiliates, on the one hand, and a Third Party acting solely as a Logistics Provider, on the other hand.</w:t>
      </w:r>
    </w:p>
    <w:p>
      <w:pPr>
        <w:pStyle w:val="TextBody"/>
        <w:bidi w:val="0"/>
        <w:spacing w:before="0" w:after="240"/>
        <w:jc w:val="both"/>
        <w:rPr/>
      </w:pPr>
      <w:r>
        <w:rPr>
          <w:color w:val="000000"/>
        </w:rPr>
        <w:t>“</w:t>
      </w:r>
      <w:r>
        <w:rPr>
          <w:rFonts w:ascii="Times New Roman" w:hAnsi="Times New Roman"/>
          <w:color w:val="000000"/>
          <w:sz w:val="24"/>
          <w:u w:val="single"/>
        </w:rPr>
        <w:t>Logistics Provider</w:t>
      </w:r>
      <w:r>
        <w:rPr>
          <w:rFonts w:ascii="Times New Roman" w:hAnsi="Times New Roman"/>
          <w:color w:val="000000"/>
          <w:sz w:val="20"/>
        </w:rPr>
        <w:t xml:space="preserve">” </w:t>
      </w:r>
      <w:r>
        <w:rPr>
          <w:rFonts w:ascii="Times New Roman" w:hAnsi="Times New Roman"/>
          <w:color w:val="000000"/>
          <w:sz w:val="24"/>
        </w:rPr>
        <w:t>means a Third Party that has the right, option or obligation to distribute, transport, warehouse, package, import, or provide similar logistics services with respect to</w:t>
      </w:r>
      <w:r>
        <w:rPr>
          <w:rFonts w:ascii="Times New Roman" w:hAnsi="Times New Roman"/>
          <w:color w:val="000000"/>
          <w:sz w:val="20"/>
        </w:rPr>
        <w:t xml:space="preserve"> </w:t>
      </w:r>
      <w:r>
        <w:rPr>
          <w:rFonts w:ascii="Times New Roman" w:hAnsi="Times New Roman"/>
          <w:color w:val="000000"/>
          <w:sz w:val="24"/>
        </w:rPr>
        <w:t>Product on behalf of a Related Party.</w:t>
      </w:r>
    </w:p>
    <w:p>
      <w:pPr>
        <w:pStyle w:val="TextBody"/>
        <w:bidi w:val="0"/>
        <w:spacing w:before="0" w:after="240"/>
        <w:jc w:val="both"/>
        <w:rPr/>
      </w:pPr>
      <w:r>
        <w:rPr>
          <w:color w:val="000000"/>
        </w:rPr>
        <w:t>“</w:t>
      </w:r>
      <w:r>
        <w:rPr>
          <w:rFonts w:ascii="Times New Roman" w:hAnsi="Times New Roman"/>
          <w:color w:val="000000"/>
          <w:sz w:val="24"/>
          <w:u w:val="single"/>
        </w:rPr>
        <w:t>Loss</w:t>
      </w:r>
      <w:r>
        <w:rPr>
          <w:rFonts w:ascii="Times New Roman" w:hAnsi="Times New Roman"/>
          <w:color w:val="000000"/>
          <w:sz w:val="20"/>
        </w:rPr>
        <w:t xml:space="preserve">” </w:t>
      </w:r>
      <w:r>
        <w:rPr>
          <w:rFonts w:ascii="Times New Roman" w:hAnsi="Times New Roman"/>
          <w:color w:val="000000"/>
          <w:sz w:val="24"/>
        </w:rPr>
        <w:t>means any and all Judgments, damages, losses, claims, costs, liabilities and expenses, including reasonable fees and out-of-pocket expenses of counsel.</w:t>
      </w:r>
    </w:p>
    <w:p>
      <w:pPr>
        <w:pStyle w:val="TextBody"/>
        <w:bidi w:val="0"/>
        <w:spacing w:before="0" w:after="240"/>
        <w:jc w:val="both"/>
        <w:rPr/>
      </w:pPr>
      <w:r>
        <w:rPr>
          <w:color w:val="000000"/>
        </w:rPr>
        <w:t>“</w:t>
      </w:r>
      <w:r>
        <w:rPr>
          <w:rFonts w:ascii="Times New Roman" w:hAnsi="Times New Roman"/>
          <w:color w:val="000000"/>
          <w:sz w:val="24"/>
          <w:u w:val="single"/>
        </w:rPr>
        <w:t>Major Market</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Manufacturer</w:t>
      </w:r>
      <w:r>
        <w:rPr>
          <w:rFonts w:ascii="Times New Roman" w:hAnsi="Times New Roman"/>
          <w:color w:val="000000"/>
          <w:sz w:val="20"/>
        </w:rPr>
        <w:t xml:space="preserve">” </w:t>
      </w:r>
      <w:r>
        <w:rPr>
          <w:rFonts w:ascii="Times New Roman" w:hAnsi="Times New Roman"/>
          <w:color w:val="000000"/>
          <w:sz w:val="24"/>
        </w:rPr>
        <w:t>means a Third Party that is a party to any Contract Manufacturing Agreement.</w:t>
      </w:r>
    </w:p>
    <w:p>
      <w:pPr>
        <w:pStyle w:val="TextBody"/>
        <w:bidi w:val="0"/>
        <w:spacing w:before="0" w:after="240"/>
        <w:jc w:val="both"/>
        <w:rPr/>
      </w:pPr>
      <w:r>
        <w:rPr>
          <w:color w:val="000000"/>
        </w:rPr>
        <w:t>“</w:t>
      </w:r>
      <w:r>
        <w:rPr>
          <w:rFonts w:ascii="Times New Roman" w:hAnsi="Times New Roman"/>
          <w:color w:val="000000"/>
          <w:sz w:val="24"/>
          <w:u w:val="single"/>
        </w:rPr>
        <w:t>Manufacturing</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Manufacture</w:t>
      </w:r>
      <w:r>
        <w:rPr>
          <w:rFonts w:ascii="Times New Roman" w:hAnsi="Times New Roman"/>
          <w:color w:val="000000"/>
          <w:sz w:val="20"/>
        </w:rPr>
        <w:t xml:space="preserve">” </w:t>
      </w:r>
      <w:r>
        <w:rPr>
          <w:rFonts w:ascii="Times New Roman" w:hAnsi="Times New Roman"/>
          <w:color w:val="000000"/>
          <w:sz w:val="24"/>
        </w:rPr>
        <w:t>means manufacturing, production, formulating, processing, filling, finishing, quality control, quality assurance, stability testing, packaging, labeling, shipping, importing, storage and similar activities with respect to a product (and components thereof or therefor), and regulatory compliance with respect to the foregoing.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Marketing Approval</w:t>
      </w:r>
      <w:r>
        <w:rPr>
          <w:rFonts w:ascii="Times New Roman" w:hAnsi="Times New Roman"/>
          <w:color w:val="000000"/>
          <w:sz w:val="20"/>
        </w:rPr>
        <w:t xml:space="preserve">” </w:t>
      </w:r>
      <w:r>
        <w:rPr>
          <w:rFonts w:ascii="Times New Roman" w:hAnsi="Times New Roman"/>
          <w:color w:val="000000"/>
          <w:sz w:val="24"/>
        </w:rPr>
        <w:t>means, with respect to any Product, any and all approvals (including drug or device approval applications), licenses, registrations or authorizations sufficient to Commercialize such product in accordance with applicable laws (excluding any compassionate or emergency use or similar approval or authorization and excluding pricing and reimbursement approvals).</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Material Breach</w:t>
      </w:r>
      <w:r>
        <w:rPr>
          <w:rFonts w:ascii="Times New Roman" w:hAnsi="Times New Roman"/>
          <w:color w:val="000000"/>
          <w:sz w:val="20"/>
        </w:rPr>
        <w:t xml:space="preserve">” </w:t>
      </w:r>
      <w:r>
        <w:rPr>
          <w:rFonts w:ascii="Times New Roman" w:hAnsi="Times New Roman"/>
          <w:color w:val="000000"/>
          <w:sz w:val="24"/>
        </w:rPr>
        <w:t>means (i) a breach by Seller of Section 7.1, Section 7.3, Section 7.6, Section 7.7, or Section 7.13 of this Agreement, or (ii) a breach of any other provision of ARTICLE 7 hereof by the Seller that has not been cured or waived by the Buyer within [ * * * ] days following Buyer providing Seller with notice of such breach.</w:t>
      </w:r>
    </w:p>
    <w:p>
      <w:pPr>
        <w:pStyle w:val="TextBody"/>
        <w:bidi w:val="0"/>
        <w:spacing w:before="0" w:after="240"/>
        <w:jc w:val="both"/>
        <w:rPr/>
      </w:pPr>
      <w:r>
        <w:rPr>
          <w:color w:val="000000"/>
        </w:rPr>
        <w:t>“</w:t>
      </w:r>
      <w:r>
        <w:rPr>
          <w:rFonts w:ascii="Times New Roman" w:hAnsi="Times New Roman"/>
          <w:color w:val="000000"/>
          <w:sz w:val="24"/>
          <w:u w:val="single"/>
        </w:rPr>
        <w:t>Maximum Revenue Participation Right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Exhibit 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Maximum Revenue Percentage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Exhibit E</w:t>
      </w:r>
      <w:r>
        <w:rPr>
          <w:rFonts w:ascii="Times New Roman" w:hAnsi="Times New Roman"/>
          <w:color w:val="000000"/>
          <w:sz w:val="24"/>
        </w:rPr>
        <w:t>.</w:t>
      </w:r>
    </w:p>
    <w:p>
      <w:pPr>
        <w:pStyle w:val="TextBody"/>
        <w:bidi w:val="0"/>
        <w:spacing w:before="0" w:after="240"/>
        <w:jc w:val="both"/>
        <w:rPr>
          <w:color w:val="000000"/>
        </w:rPr>
      </w:pPr>
      <w:r>
        <w:rPr>
          <w:color w:val="000000"/>
        </w:rPr>
        <w:t>“</w:t>
      </w:r>
      <w:r>
        <w:rPr>
          <w:rFonts w:ascii="Times New Roman" w:hAnsi="Times New Roman"/>
          <w:color w:val="000000"/>
          <w:sz w:val="24"/>
        </w:rPr>
        <w:t>Net Sales” means the gross amount invoiced, billed or otherwise recorded for sales of a Product anywhere in the world by or on behalf of the Seller (or any permitted assignee), its Affiliates, or any Licensee, in each case, to a Third Party in accordance with GAAP consistently applied (“Gross Sales”), less the following amounts, to the extent actually deducted in calculating revenue from sales of the applicable Product in accordance with GAAP consistently applied, and not reimbursed by or recovered from such Third Party; provided, that any given amount may be taken as a permitted deduction only once: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 * ].</w:t>
      </w:r>
    </w:p>
    <w:p>
      <w:pPr>
        <w:pStyle w:val="TextBody"/>
        <w:bidi w:val="0"/>
        <w:spacing w:before="0" w:after="240"/>
        <w:jc w:val="both"/>
        <w:rPr/>
      </w:pPr>
      <w:r>
        <w:rPr>
          <w:color w:val="000000"/>
        </w:rPr>
        <w:t>“</w:t>
      </w:r>
      <w:r>
        <w:rPr>
          <w:rFonts w:ascii="Times New Roman" w:hAnsi="Times New Roman"/>
          <w:color w:val="000000"/>
          <w:sz w:val="24"/>
          <w:u w:val="single"/>
        </w:rPr>
        <w:t>Other Component</w:t>
      </w:r>
      <w:r>
        <w:rPr>
          <w:rFonts w:ascii="Times New Roman" w:hAnsi="Times New Roman"/>
          <w:color w:val="000000"/>
          <w:sz w:val="20"/>
        </w:rPr>
        <w:t xml:space="preserve">” </w:t>
      </w:r>
      <w:r>
        <w:rPr>
          <w:rFonts w:ascii="Times New Roman" w:hAnsi="Times New Roman"/>
          <w:color w:val="000000"/>
          <w:sz w:val="24"/>
        </w:rPr>
        <w:t>is defined in the definition of “Combination Product”.</w:t>
      </w:r>
    </w:p>
    <w:p>
      <w:pPr>
        <w:pStyle w:val="TextBody"/>
        <w:bidi w:val="0"/>
        <w:spacing w:before="0" w:after="240"/>
        <w:jc w:val="both"/>
        <w:rPr/>
      </w:pPr>
      <w:r>
        <w:rPr>
          <w:color w:val="000000"/>
        </w:rPr>
        <w:t>“</w:t>
      </w:r>
      <w:r>
        <w:rPr>
          <w:rFonts w:ascii="Times New Roman" w:hAnsi="Times New Roman"/>
          <w:color w:val="000000"/>
          <w:sz w:val="24"/>
          <w:u w:val="single"/>
        </w:rPr>
        <w:t>Out-License</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is defined in the preamble.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Patents</w:t>
      </w:r>
      <w:r>
        <w:rPr>
          <w:rFonts w:ascii="Times New Roman" w:hAnsi="Times New Roman"/>
          <w:color w:val="000000"/>
          <w:sz w:val="20"/>
        </w:rPr>
        <w:t xml:space="preserve">” </w:t>
      </w:r>
      <w:r>
        <w:rPr>
          <w:rFonts w:ascii="Times New Roman" w:hAnsi="Times New Roman"/>
          <w:color w:val="000000"/>
          <w:sz w:val="24"/>
        </w:rPr>
        <w:t>means any and all patents and patent applications,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pStyle w:val="TextBody"/>
        <w:bidi w:val="0"/>
        <w:spacing w:before="0" w:after="240"/>
        <w:jc w:val="both"/>
        <w:rPr/>
      </w:pPr>
      <w:r>
        <w:rPr>
          <w:color w:val="000000"/>
        </w:rPr>
        <w:t>“</w:t>
      </w:r>
      <w:r>
        <w:rPr>
          <w:rFonts w:ascii="Times New Roman" w:hAnsi="Times New Roman"/>
          <w:color w:val="000000"/>
          <w:sz w:val="24"/>
          <w:u w:val="single"/>
        </w:rPr>
        <w:t>Patent Rights</w:t>
      </w:r>
      <w:r>
        <w:rPr>
          <w:rFonts w:ascii="Times New Roman" w:hAnsi="Times New Roman"/>
          <w:color w:val="000000"/>
          <w:sz w:val="20"/>
        </w:rPr>
        <w:t xml:space="preserve">” </w:t>
      </w:r>
      <w:r>
        <w:rPr>
          <w:rFonts w:ascii="Times New Roman" w:hAnsi="Times New Roman"/>
          <w:color w:val="000000"/>
          <w:sz w:val="24"/>
        </w:rPr>
        <w:t xml:space="preserve">means any and all Patents owned or in-licensed by the Seller or any of its Affiliates or their respective Licensees or under which the Seller or any of its Affiliates or their respective Licensees is or may become empowered to practice, the subject matter of which is necessary or actually used for the Manufacture or Exploitation of any Product, including the Patents existing as of the Effective Date set forth on </w:t>
      </w:r>
      <w:r>
        <w:rPr>
          <w:rFonts w:ascii="Times New Roman" w:hAnsi="Times New Roman"/>
          <w:color w:val="000000"/>
          <w:sz w:val="24"/>
          <w:u w:val="single"/>
        </w:rPr>
        <w:t>Schedule 4.10(a)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Exhibit G</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any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 *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Permitted Out-License</w:t>
      </w:r>
      <w:r>
        <w:rPr>
          <w:rFonts w:ascii="Times New Roman" w:hAnsi="Times New Roman"/>
          <w:color w:val="000000"/>
          <w:sz w:val="20"/>
        </w:rPr>
        <w:t xml:space="preserve">” </w:t>
      </w:r>
      <w:r>
        <w:rPr>
          <w:rFonts w:ascii="Times New Roman" w:hAnsi="Times New Roman"/>
          <w:color w:val="000000"/>
          <w:sz w:val="24"/>
        </w:rPr>
        <w:t>means a written Out-License between the Seller or any of its Affiliates, on the one hand, and a Permitted Transferee on the other hand.</w:t>
      </w:r>
    </w:p>
    <w:p>
      <w:pPr>
        <w:pStyle w:val="TextBody"/>
        <w:bidi w:val="0"/>
        <w:spacing w:before="0" w:after="240"/>
        <w:jc w:val="both"/>
        <w:rPr/>
      </w:pPr>
      <w:r>
        <w:rPr>
          <w:color w:val="000000"/>
        </w:rPr>
        <w:t>“</w:t>
      </w:r>
      <w:r>
        <w:rPr>
          <w:rFonts w:ascii="Times New Roman" w:hAnsi="Times New Roman"/>
          <w:color w:val="000000"/>
          <w:sz w:val="24"/>
          <w:u w:val="single"/>
        </w:rPr>
        <w:t>Permitted Transferee</w:t>
      </w:r>
      <w:r>
        <w:rPr>
          <w:rFonts w:ascii="Times New Roman" w:hAnsi="Times New Roman"/>
          <w:color w:val="000000"/>
          <w:sz w:val="20"/>
        </w:rPr>
        <w:t xml:space="preserve">” </w:t>
      </w:r>
      <w:r>
        <w:rPr>
          <w:rFonts w:ascii="Times New Roman" w:hAnsi="Times New Roman"/>
          <w:color w:val="000000"/>
          <w:sz w:val="24"/>
        </w:rPr>
        <w:t>[ * * * ].</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firm, corporation, company, partnership, limited liability company, trust, joint venture, association, estate, trust, Governmental Entity or other entity, enterprise, association or organization.</w:t>
      </w:r>
    </w:p>
    <w:p>
      <w:pPr>
        <w:pStyle w:val="TextBody"/>
        <w:bidi w:val="0"/>
        <w:spacing w:before="0" w:after="240"/>
        <w:jc w:val="both"/>
        <w:rPr/>
      </w:pPr>
      <w:r>
        <w:rPr>
          <w:color w:val="000000"/>
        </w:rPr>
        <w:t>“</w:t>
      </w:r>
      <w:r>
        <w:rPr>
          <w:rFonts w:ascii="Times New Roman" w:hAnsi="Times New Roman"/>
          <w:color w:val="000000"/>
          <w:sz w:val="24"/>
          <w:u w:val="single"/>
        </w:rPr>
        <w:t>Phase 2 Clinical Trial</w:t>
      </w:r>
      <w:r>
        <w:rPr>
          <w:rFonts w:ascii="Times New Roman" w:hAnsi="Times New Roman"/>
          <w:color w:val="000000"/>
          <w:sz w:val="20"/>
        </w:rPr>
        <w:t xml:space="preserve">” </w:t>
      </w:r>
      <w:r>
        <w:rPr>
          <w:rFonts w:ascii="Times New Roman" w:hAnsi="Times New Roman"/>
          <w:color w:val="000000"/>
          <w:sz w:val="24"/>
        </w:rPr>
        <w:t>means a Clinical Trial of an investigational product in human subjects with the objective of exploring the feasibility, safety, dose ranging, or efficacy of a pharmaceutical or biologic product that satisfies the requirements of 21 C.F.R. § 312.21(b), or a comparable Clinical Trial prescribed by the relevant Regulatory Authority in a country other than the United States.</w:t>
      </w:r>
    </w:p>
    <w:p>
      <w:pPr>
        <w:pStyle w:val="TextBody"/>
        <w:bidi w:val="0"/>
        <w:spacing w:before="0" w:after="240"/>
        <w:jc w:val="both"/>
        <w:rPr/>
      </w:pPr>
      <w:r>
        <w:rPr>
          <w:color w:val="000000"/>
        </w:rPr>
        <w:t>“</w:t>
      </w:r>
      <w:r>
        <w:rPr>
          <w:rFonts w:ascii="Times New Roman" w:hAnsi="Times New Roman"/>
          <w:color w:val="000000"/>
          <w:sz w:val="24"/>
          <w:u w:val="single"/>
        </w:rPr>
        <w:t>Phase 3 Clinical Trial</w:t>
      </w:r>
      <w:r>
        <w:rPr>
          <w:rFonts w:ascii="Times New Roman" w:hAnsi="Times New Roman"/>
          <w:color w:val="000000"/>
          <w:sz w:val="20"/>
        </w:rPr>
        <w:t xml:space="preserve">” </w:t>
      </w:r>
      <w:r>
        <w:rPr>
          <w:rFonts w:ascii="Times New Roman" w:hAnsi="Times New Roman"/>
          <w:color w:val="000000"/>
          <w:sz w:val="24"/>
        </w:rPr>
        <w:t>means a Clinical Trial that incorporates accepted endpoints for confirmation of safety and statistical significance of efficacy with the aim to generate data and results that can be submitted to obtain Marketing Approval as described in 21 C.F.R. 312.21(c), or a comparable Clinical Trial prescribed by the relevant Regulatory Authority in a country other than the United States.</w:t>
      </w:r>
    </w:p>
    <w:p>
      <w:pPr>
        <w:pStyle w:val="TextBody"/>
        <w:bidi w:val="0"/>
        <w:spacing w:before="0" w:after="240"/>
        <w:jc w:val="both"/>
        <w:rPr/>
      </w:pPr>
      <w:r>
        <w:rPr>
          <w:color w:val="000000"/>
        </w:rPr>
        <w:t>“</w:t>
      </w:r>
      <w:r>
        <w:rPr>
          <w:rFonts w:ascii="Times New Roman" w:hAnsi="Times New Roman"/>
          <w:color w:val="000000"/>
          <w:sz w:val="24"/>
          <w:u w:val="single"/>
        </w:rPr>
        <w:t>Phase 3 Readout Date</w:t>
      </w:r>
      <w:r>
        <w:rPr>
          <w:rFonts w:ascii="Times New Roman" w:hAnsi="Times New Roman"/>
          <w:color w:val="000000"/>
          <w:sz w:val="20"/>
        </w:rPr>
        <w:t xml:space="preserve">” </w:t>
      </w:r>
      <w:r>
        <w:rPr>
          <w:rFonts w:ascii="Times New Roman" w:hAnsi="Times New Roman"/>
          <w:color w:val="000000"/>
          <w:sz w:val="24"/>
        </w:rPr>
        <w:t>means the date of the final 16-week data readout from both APG777 Phase3 Clinical Trials.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Post FCS Advisory Meeting</w:t>
      </w:r>
      <w:r>
        <w:rPr>
          <w:rFonts w:ascii="Times New Roman" w:hAnsi="Times New Roman"/>
          <w:color w:val="000000"/>
          <w:sz w:val="20"/>
        </w:rPr>
        <w:t xml:space="preserve">” </w:t>
      </w:r>
      <w:r>
        <w:rPr>
          <w:rFonts w:ascii="Times New Roman" w:hAnsi="Times New Roman"/>
          <w:color w:val="000000"/>
          <w:sz w:val="24"/>
        </w:rPr>
        <w:t>has the meaning set forth in Section 7.2(a).</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means the prime rate published by The Wall Street Journal, from time to time, as the prime rate.</w:t>
      </w:r>
    </w:p>
    <w:p>
      <w:pPr>
        <w:pStyle w:val="TextBody"/>
        <w:bidi w:val="0"/>
        <w:spacing w:before="0" w:after="240"/>
        <w:jc w:val="both"/>
        <w:rPr/>
      </w:pPr>
      <w:r>
        <w:rPr>
          <w:color w:val="000000"/>
        </w:rPr>
        <w:t>“</w:t>
      </w:r>
      <w:r>
        <w:rPr>
          <w:rFonts w:ascii="Times New Roman" w:hAnsi="Times New Roman"/>
          <w:color w:val="000000"/>
          <w:sz w:val="24"/>
          <w:u w:val="single"/>
        </w:rPr>
        <w:t>Product</w:t>
      </w:r>
      <w:r>
        <w:rPr>
          <w:rFonts w:ascii="Times New Roman" w:hAnsi="Times New Roman"/>
          <w:color w:val="000000"/>
          <w:sz w:val="20"/>
        </w:rPr>
        <w:t xml:space="preserve">” </w:t>
      </w:r>
      <w:r>
        <w:rPr>
          <w:rFonts w:ascii="Times New Roman" w:hAnsi="Times New Roman"/>
          <w:color w:val="000000"/>
          <w:sz w:val="24"/>
        </w:rPr>
        <w:t>means any product that comprises or contains APG777, in any dosage form, dosing regimen, formulation, or strength, including Combination Products.</w:t>
      </w:r>
    </w:p>
    <w:p>
      <w:pPr>
        <w:pStyle w:val="TextBody"/>
        <w:bidi w:val="0"/>
        <w:spacing w:before="0" w:after="240"/>
        <w:jc w:val="both"/>
        <w:rPr/>
      </w:pPr>
      <w:r>
        <w:rPr>
          <w:color w:val="000000"/>
        </w:rPr>
        <w:t>“</w:t>
      </w:r>
      <w:r>
        <w:rPr>
          <w:rFonts w:ascii="Times New Roman" w:hAnsi="Times New Roman"/>
          <w:color w:val="000000"/>
          <w:sz w:val="24"/>
          <w:u w:val="single"/>
        </w:rPr>
        <w:t>Purchase Price</w:t>
      </w:r>
      <w:r>
        <w:rPr>
          <w:rFonts w:ascii="Times New Roman" w:hAnsi="Times New Roman"/>
          <w:color w:val="000000"/>
          <w:sz w:val="20"/>
        </w:rPr>
        <w:t xml:space="preserve">” </w:t>
      </w:r>
      <w:r>
        <w:rPr>
          <w:rFonts w:ascii="Times New Roman" w:hAnsi="Times New Roman"/>
          <w:color w:val="000000"/>
          <w:sz w:val="24"/>
        </w:rPr>
        <w:t>means the sum of the Upfront Purchase Price, the Tranche 2 Purchase Price, the Tranche 3 Purchase Price, and, if applicable, the Tranche 4 Purchase Price.</w:t>
      </w:r>
    </w:p>
    <w:p>
      <w:pPr>
        <w:pStyle w:val="TextBody"/>
        <w:bidi w:val="0"/>
        <w:spacing w:before="0" w:after="240"/>
        <w:jc w:val="both"/>
        <w:rPr/>
      </w:pPr>
      <w:r>
        <w:rPr>
          <w:color w:val="000000"/>
        </w:rPr>
        <w:t>“</w:t>
      </w:r>
      <w:r>
        <w:rPr>
          <w:rFonts w:ascii="Times New Roman" w:hAnsi="Times New Roman"/>
          <w:color w:val="000000"/>
          <w:sz w:val="24"/>
          <w:u w:val="single"/>
        </w:rPr>
        <w:t>Quarterly Advisory Meeting</w:t>
      </w:r>
      <w:r>
        <w:rPr>
          <w:rFonts w:ascii="Times New Roman" w:hAnsi="Times New Roman"/>
          <w:color w:val="000000"/>
          <w:sz w:val="20"/>
        </w:rPr>
        <w:t xml:space="preserve">” </w:t>
      </w:r>
      <w:r>
        <w:rPr>
          <w:rFonts w:ascii="Times New Roman" w:hAnsi="Times New Roman"/>
          <w:color w:val="000000"/>
          <w:sz w:val="24"/>
        </w:rPr>
        <w:t>is defined in Section 7.2(a).</w:t>
      </w:r>
    </w:p>
    <w:p>
      <w:pPr>
        <w:pStyle w:val="TextBody"/>
        <w:bidi w:val="0"/>
        <w:spacing w:before="0" w:after="240"/>
        <w:jc w:val="both"/>
        <w:rPr/>
      </w:pPr>
      <w:r>
        <w:rPr>
          <w:color w:val="000000"/>
        </w:rPr>
        <w:t>“</w:t>
      </w:r>
      <w:r>
        <w:rPr>
          <w:rFonts w:ascii="Times New Roman" w:hAnsi="Times New Roman"/>
          <w:color w:val="000000"/>
          <w:sz w:val="24"/>
          <w:u w:val="single"/>
        </w:rPr>
        <w:t>Receiving Party</w:t>
      </w:r>
      <w:r>
        <w:rPr>
          <w:rFonts w:ascii="Times New Roman" w:hAnsi="Times New Roman"/>
          <w:color w:val="000000"/>
          <w:sz w:val="20"/>
        </w:rPr>
        <w:t xml:space="preserve">” </w:t>
      </w:r>
      <w:r>
        <w:rPr>
          <w:rFonts w:ascii="Times New Roman" w:hAnsi="Times New Roman"/>
          <w:color w:val="000000"/>
          <w:sz w:val="24"/>
        </w:rPr>
        <w:t>is defined in Section 9.1.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Regulatory Authority</w:t>
      </w:r>
      <w:r>
        <w:rPr>
          <w:rFonts w:ascii="Times New Roman" w:hAnsi="Times New Roman"/>
          <w:color w:val="000000"/>
          <w:sz w:val="20"/>
        </w:rPr>
        <w:t xml:space="preserve">” </w:t>
      </w:r>
      <w:r>
        <w:rPr>
          <w:rFonts w:ascii="Times New Roman" w:hAnsi="Times New Roman"/>
          <w:color w:val="000000"/>
          <w:sz w:val="24"/>
        </w:rPr>
        <w:t>means any Governmental Entity, including the FDA, which has responsibility in granting a Marketing Approval.</w:t>
      </w:r>
    </w:p>
    <w:p>
      <w:pPr>
        <w:pStyle w:val="TextBody"/>
        <w:bidi w:val="0"/>
        <w:spacing w:before="0" w:after="240"/>
        <w:jc w:val="both"/>
        <w:rPr/>
      </w:pPr>
      <w:r>
        <w:rPr>
          <w:color w:val="000000"/>
        </w:rPr>
        <w:t>“</w:t>
      </w:r>
      <w:r>
        <w:rPr>
          <w:rFonts w:ascii="Times New Roman" w:hAnsi="Times New Roman"/>
          <w:color w:val="000000"/>
          <w:sz w:val="24"/>
          <w:u w:val="single"/>
        </w:rPr>
        <w:t>Related Party</w:t>
      </w:r>
      <w:r>
        <w:rPr>
          <w:rFonts w:ascii="Times New Roman" w:hAnsi="Times New Roman"/>
          <w:color w:val="000000"/>
          <w:sz w:val="20"/>
        </w:rPr>
        <w:t xml:space="preserve">” </w:t>
      </w:r>
      <w:r>
        <w:rPr>
          <w:rFonts w:ascii="Times New Roman" w:hAnsi="Times New Roman"/>
          <w:color w:val="000000"/>
          <w:sz w:val="24"/>
        </w:rPr>
        <w:t>means each of the Seller, its Affiliates, and their respective Licensees, as applicable.</w:t>
      </w:r>
    </w:p>
    <w:p>
      <w:pPr>
        <w:pStyle w:val="TextBody"/>
        <w:bidi w:val="0"/>
        <w:spacing w:before="0" w:after="240"/>
        <w:jc w:val="both"/>
        <w:rPr/>
      </w:pPr>
      <w:r>
        <w:rPr>
          <w:color w:val="000000"/>
        </w:rPr>
        <w:t>“</w:t>
      </w:r>
      <w:r>
        <w:rPr>
          <w:rFonts w:ascii="Times New Roman" w:hAnsi="Times New Roman"/>
          <w:color w:val="000000"/>
          <w:sz w:val="24"/>
          <w:u w:val="single"/>
        </w:rPr>
        <w:t>Representative</w:t>
      </w:r>
      <w:r>
        <w:rPr>
          <w:rFonts w:ascii="Times New Roman" w:hAnsi="Times New Roman"/>
          <w:color w:val="000000"/>
          <w:sz w:val="20"/>
        </w:rPr>
        <w:t xml:space="preserve">” </w:t>
      </w:r>
      <w:r>
        <w:rPr>
          <w:rFonts w:ascii="Times New Roman" w:hAnsi="Times New Roman"/>
          <w:color w:val="000000"/>
          <w:sz w:val="24"/>
        </w:rPr>
        <w:t>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Revenue Participation Right</w:t>
      </w:r>
      <w:r>
        <w:rPr>
          <w:rFonts w:ascii="Times New Roman" w:hAnsi="Times New Roman"/>
          <w:color w:val="000000"/>
          <w:sz w:val="20"/>
        </w:rPr>
        <w:t xml:space="preserve">” </w:t>
      </w:r>
      <w:r>
        <w:rPr>
          <w:rFonts w:ascii="Times New Roman" w:hAnsi="Times New Roman"/>
          <w:color w:val="000000"/>
          <w:sz w:val="24"/>
        </w:rPr>
        <w:t xml:space="preserve">means the right to receive payment in full of all Revenue Payments, and an undivided ownership interest of all accounts (as defined in the UCC), general intangibles (as defined in the UCC), payment intangibles (as defined in the UCC) and all other rights to payment on account of Net Sales, and all proceeds thereof, in an amount equal to the applicable Revenue Percentage multiplied by Net Sales during the Revenue Payment Term. For clarity, following the Tranche 4 Closing, the Revenue Participation Right shall include the Tranche 4 Incremental Revenue Participation Right. For clarity, the Revenue Percentage shall be calculated in accordance with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based on Annual Aggregate Product Net Sales.</w:t>
      </w:r>
    </w:p>
    <w:p>
      <w:pPr>
        <w:pStyle w:val="TextBody"/>
        <w:bidi w:val="0"/>
        <w:spacing w:before="0" w:after="240"/>
        <w:jc w:val="both"/>
        <w:rPr/>
      </w:pPr>
      <w:r>
        <w:rPr>
          <w:color w:val="000000"/>
        </w:rPr>
        <w:t>“</w:t>
      </w:r>
      <w:r>
        <w:rPr>
          <w:rFonts w:ascii="Times New Roman" w:hAnsi="Times New Roman"/>
          <w:color w:val="000000"/>
          <w:sz w:val="24"/>
          <w:u w:val="single"/>
        </w:rPr>
        <w:t>Revenue Payment</w:t>
      </w:r>
      <w:r>
        <w:rPr>
          <w:rFonts w:ascii="Times New Roman" w:hAnsi="Times New Roman"/>
          <w:color w:val="000000"/>
          <w:sz w:val="20"/>
        </w:rPr>
        <w:t xml:space="preserve">” </w:t>
      </w:r>
      <w:r>
        <w:rPr>
          <w:rFonts w:ascii="Times New Roman" w:hAnsi="Times New Roman"/>
          <w:color w:val="000000"/>
          <w:sz w:val="24"/>
        </w:rPr>
        <w:t xml:space="preserve">means for each Calendar Quarter occurring (in whole or in part) during the Revenue Payment Term, an amount payable to the Buyer equal to the product of (i) Net Sales during such Calendar Quarter (or, for any Calendar Quarter occurring in part during the Revenue Payment Term, Net Sales for the calendar days falling within the Revenue Payment Term during such Calendar Quarter) and (ii) the applicable Revenue Percentage. For clarity, the Revenue Percentage shall be calculated in accordance with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based on Annual Aggregate Product Net Sales.</w:t>
      </w:r>
    </w:p>
    <w:p>
      <w:pPr>
        <w:pStyle w:val="TextBody"/>
        <w:bidi w:val="0"/>
        <w:spacing w:before="0" w:after="240"/>
        <w:jc w:val="both"/>
        <w:rPr/>
      </w:pPr>
      <w:r>
        <w:rPr>
          <w:color w:val="000000"/>
        </w:rPr>
        <w:t>“</w:t>
      </w:r>
      <w:r>
        <w:rPr>
          <w:rFonts w:ascii="Times New Roman" w:hAnsi="Times New Roman"/>
          <w:color w:val="000000"/>
          <w:sz w:val="24"/>
          <w:u w:val="single"/>
        </w:rPr>
        <w:t>Revenue Payment Term</w:t>
      </w:r>
      <w:r>
        <w:rPr>
          <w:rFonts w:ascii="Times New Roman" w:hAnsi="Times New Roman"/>
          <w:color w:val="000000"/>
          <w:sz w:val="20"/>
        </w:rPr>
        <w:t xml:space="preserve">” </w:t>
      </w:r>
      <w:r>
        <w:rPr>
          <w:rFonts w:ascii="Times New Roman" w:hAnsi="Times New Roman"/>
          <w:color w:val="000000"/>
          <w:sz w:val="24"/>
        </w:rPr>
        <w:t>means the period commencing on the date of receipt of the First Commercial Sale of the first Product and ending on the date that is the fifteenth (15th) anniversary of the date of receipt of the Marketing Approval of the first Product.</w:t>
      </w:r>
    </w:p>
    <w:p>
      <w:pPr>
        <w:pStyle w:val="TextBody"/>
        <w:bidi w:val="0"/>
        <w:spacing w:before="0" w:after="240"/>
        <w:jc w:val="both"/>
        <w:rPr/>
      </w:pPr>
      <w:r>
        <w:rPr>
          <w:color w:val="000000"/>
        </w:rPr>
        <w:t>“</w:t>
      </w:r>
      <w:r>
        <w:rPr>
          <w:rFonts w:ascii="Times New Roman" w:hAnsi="Times New Roman"/>
          <w:color w:val="000000"/>
          <w:sz w:val="24"/>
          <w:u w:val="single"/>
        </w:rPr>
        <w:t>Revenue Percentage</w:t>
      </w:r>
      <w:r>
        <w:rPr>
          <w:rFonts w:ascii="Times New Roman" w:hAnsi="Times New Roman"/>
          <w:color w:val="000000"/>
          <w:sz w:val="20"/>
        </w:rPr>
        <w:t xml:space="preserve">” </w:t>
      </w:r>
      <w:r>
        <w:rPr>
          <w:rFonts w:ascii="Times New Roman" w:hAnsi="Times New Roman"/>
          <w:color w:val="000000"/>
          <w:sz w:val="24"/>
        </w:rPr>
        <w:t xml:space="preserve">is defined on </w:t>
      </w:r>
      <w:r>
        <w:rPr>
          <w:rFonts w:ascii="Times New Roman" w:hAnsi="Times New Roman"/>
          <w:color w:val="000000"/>
          <w:sz w:val="24"/>
          <w:u w:val="single"/>
        </w:rPr>
        <w:t>Exhibit 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Revenue Report</w:t>
      </w:r>
      <w:r>
        <w:rPr>
          <w:rFonts w:ascii="Times New Roman" w:hAnsi="Times New Roman"/>
          <w:color w:val="000000"/>
          <w:sz w:val="20"/>
        </w:rPr>
        <w:t xml:space="preserve">” </w:t>
      </w:r>
      <w:r>
        <w:rPr>
          <w:rFonts w:ascii="Times New Roman" w:hAnsi="Times New Roman"/>
          <w:color w:val="000000"/>
          <w:sz w:val="24"/>
        </w:rPr>
        <w:t>is defined in Section 7.3(c).</w:t>
      </w:r>
    </w:p>
    <w:p>
      <w:pPr>
        <w:pStyle w:val="TextBody"/>
        <w:bidi w:val="0"/>
        <w:spacing w:before="0" w:after="240"/>
        <w:jc w:val="both"/>
        <w:rPr/>
      </w:pPr>
      <w:r>
        <w:rPr>
          <w:color w:val="000000"/>
        </w:rPr>
        <w:t>“</w:t>
      </w:r>
      <w:r>
        <w:rPr>
          <w:rFonts w:ascii="Times New Roman" w:hAnsi="Times New Roman"/>
          <w:color w:val="000000"/>
          <w:sz w:val="24"/>
          <w:u w:val="single"/>
        </w:rPr>
        <w:t>Safety Event</w:t>
      </w:r>
      <w:r>
        <w:rPr>
          <w:rFonts w:ascii="Times New Roman" w:hAnsi="Times New Roman"/>
          <w:color w:val="000000"/>
          <w:sz w:val="20"/>
        </w:rPr>
        <w:t xml:space="preserve">” </w:t>
      </w:r>
      <w:r>
        <w:rPr>
          <w:rFonts w:ascii="Times New Roman" w:hAnsi="Times New Roman"/>
          <w:color w:val="000000"/>
          <w:sz w:val="24"/>
        </w:rPr>
        <w:t>means a determination by (a) a Regulatory Authority, (b) the Seller’s clinical safety adjudication committee (acting in good faith and in accordance with its charter), or (c) a data monitoring review board (or similar entity), in each case ((b) and (c)), after reasonable consultation with the FDA or similar Regulatory Authority but subject to such committee’s or board’s final determination, that, in connection with a Clinical Trial for a given Product: (i) such Product presents an unreasonable and significant risk of death, a life-threatening condition or other serious safety concern or (ii) the safety risks, as determined in consultation with a data monitoring review board, associated with such Product otherwise outweigh its benefits, in each case of (i) and (ii), to patients such that such Product should not continue to be administered to the patient population being studied in such Clinical Trial.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Safety Notices</w:t>
      </w:r>
      <w:r>
        <w:rPr>
          <w:rFonts w:ascii="Times New Roman" w:hAnsi="Times New Roman"/>
          <w:color w:val="000000"/>
          <w:sz w:val="20"/>
        </w:rPr>
        <w:t xml:space="preserve">” </w:t>
      </w:r>
      <w:r>
        <w:rPr>
          <w:rFonts w:ascii="Times New Roman" w:hAnsi="Times New Roman"/>
          <w:color w:val="000000"/>
          <w:sz w:val="24"/>
        </w:rPr>
        <w:t>means any recalls, field alert reports, market withdrawals, “dear doctor” letters, safety alerts or other notices of action relating to a material alleged lack of safety or regulatory compliance of a Product.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Seller</w:t>
      </w:r>
      <w:r>
        <w:rPr>
          <w:rFonts w:ascii="Times New Roman" w:hAnsi="Times New Roman"/>
          <w:color w:val="000000"/>
          <w:sz w:val="20"/>
        </w:rPr>
        <w:t xml:space="preserve">” </w:t>
      </w:r>
      <w:r>
        <w:rPr>
          <w:rFonts w:ascii="Times New Roman" w:hAnsi="Times New Roman"/>
          <w:color w:val="000000"/>
          <w:sz w:val="24"/>
        </w:rPr>
        <w:t>is defined in the preamble.</w:t>
      </w:r>
    </w:p>
    <w:p>
      <w:pPr>
        <w:pStyle w:val="TextBody"/>
        <w:bidi w:val="0"/>
        <w:spacing w:before="0" w:after="240"/>
        <w:jc w:val="both"/>
        <w:rPr/>
      </w:pPr>
      <w:r>
        <w:rPr>
          <w:color w:val="000000"/>
        </w:rPr>
        <w:t>“</w:t>
      </w:r>
      <w:r>
        <w:rPr>
          <w:rFonts w:ascii="Times New Roman" w:hAnsi="Times New Roman"/>
          <w:color w:val="000000"/>
          <w:sz w:val="24"/>
          <w:u w:val="single"/>
        </w:rPr>
        <w:t>Seller Indemnified Parties</w:t>
      </w:r>
      <w:r>
        <w:rPr>
          <w:rFonts w:ascii="Times New Roman" w:hAnsi="Times New Roman"/>
          <w:color w:val="000000"/>
          <w:sz w:val="20"/>
        </w:rPr>
        <w:t xml:space="preserve">” </w:t>
      </w:r>
      <w:r>
        <w:rPr>
          <w:rFonts w:ascii="Times New Roman" w:hAnsi="Times New Roman"/>
          <w:color w:val="000000"/>
          <w:sz w:val="24"/>
        </w:rPr>
        <w:t>is defined in Section 8.1(b).</w:t>
      </w:r>
    </w:p>
    <w:p>
      <w:pPr>
        <w:pStyle w:val="TextBody"/>
        <w:bidi w:val="0"/>
        <w:spacing w:before="0" w:after="240"/>
        <w:jc w:val="both"/>
        <w:rPr/>
      </w:pPr>
      <w:r>
        <w:rPr>
          <w:color w:val="000000"/>
        </w:rPr>
        <w:t>“</w:t>
      </w:r>
      <w:r>
        <w:rPr>
          <w:rFonts w:ascii="Times New Roman" w:hAnsi="Times New Roman"/>
          <w:color w:val="000000"/>
          <w:sz w:val="24"/>
          <w:u w:val="single"/>
        </w:rPr>
        <w:t>Senior Debt</w:t>
      </w:r>
      <w:r>
        <w:rPr>
          <w:rFonts w:ascii="Times New Roman" w:hAnsi="Times New Roman"/>
          <w:color w:val="000000"/>
          <w:sz w:val="20"/>
        </w:rPr>
        <w:t xml:space="preserve">” </w:t>
      </w:r>
      <w:r>
        <w:rPr>
          <w:rFonts w:ascii="Times New Roman" w:hAnsi="Times New Roman"/>
          <w:color w:val="000000"/>
          <w:sz w:val="24"/>
        </w:rPr>
        <w:t>means any secured credit facility (including any working capital or revolving loan facility), term loan, or other Indebtedness (other than, for the avoidance of doubt, an Additional Monetization) that is secured by a Lien on any Revenue Participation Right or any “proceeds” (as defined in the UCC) thereof or the APG777 Product Rights or any “proceeds” (as defined in the UCC) thereof.</w:t>
      </w:r>
    </w:p>
    <w:p>
      <w:pPr>
        <w:pStyle w:val="TextBody"/>
        <w:bidi w:val="0"/>
        <w:spacing w:before="0" w:after="240"/>
        <w:jc w:val="both"/>
        <w:rPr/>
      </w:pPr>
      <w:r>
        <w:rPr>
          <w:color w:val="000000"/>
        </w:rPr>
        <w:t>“</w:t>
      </w:r>
      <w:r>
        <w:rPr>
          <w:rFonts w:ascii="Times New Roman" w:hAnsi="Times New Roman"/>
          <w:color w:val="000000"/>
          <w:sz w:val="24"/>
          <w:u w:val="single"/>
        </w:rPr>
        <w:t>Specified Clinical Trials</w:t>
      </w:r>
      <w:r>
        <w:rPr>
          <w:rFonts w:ascii="Times New Roman" w:hAnsi="Times New Roman"/>
          <w:color w:val="000000"/>
          <w:sz w:val="20"/>
        </w:rPr>
        <w:t xml:space="preserve">” </w:t>
      </w:r>
      <w:r>
        <w:rPr>
          <w:rFonts w:ascii="Times New Roman" w:hAnsi="Times New Roman"/>
          <w:color w:val="000000"/>
          <w:sz w:val="24"/>
        </w:rPr>
        <w:t>means [ * * * ].</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a corporation, partnership, limited liability company or other entity of which more than fifty percent (50%) of whose shares of stock or other ownership interests having ordinary voting power (other than stock or such other ownership interests having such power only by reason of the happening of a contingency) to elect a majority of the board of directors (or equivalent governing body) of such corporation, partnership or other entity are at the time owned, directly or indirectly through one or more intermediaries, or both, by such Person. Unless the context otherwise requires, each reference to a Subsidiary herein shall be a reference to a Subsidiary of the Seller.</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pStyle w:val="TextBody"/>
        <w:bidi w:val="0"/>
        <w:spacing w:before="0" w:after="240"/>
        <w:jc w:val="both"/>
        <w:rPr/>
      </w:pPr>
      <w:r>
        <w:rPr>
          <w:color w:val="000000"/>
        </w:rPr>
        <w:t>“</w:t>
      </w:r>
      <w:r>
        <w:rPr>
          <w:rFonts w:ascii="Times New Roman" w:hAnsi="Times New Roman"/>
          <w:color w:val="000000"/>
          <w:sz w:val="24"/>
          <w:u w:val="single"/>
        </w:rPr>
        <w:t>Third Party</w:t>
      </w:r>
      <w:r>
        <w:rPr>
          <w:rFonts w:ascii="Times New Roman" w:hAnsi="Times New Roman"/>
          <w:color w:val="000000"/>
          <w:sz w:val="20"/>
        </w:rPr>
        <w:t xml:space="preserve">” </w:t>
      </w:r>
      <w:r>
        <w:rPr>
          <w:rFonts w:ascii="Times New Roman" w:hAnsi="Times New Roman"/>
          <w:color w:val="000000"/>
          <w:sz w:val="24"/>
        </w:rPr>
        <w:t>means any Person that is not the Seller, the Buyer, or an Affiliate of the Seller or the Buyer.</w:t>
      </w:r>
    </w:p>
    <w:p>
      <w:pPr>
        <w:pStyle w:val="TextBody"/>
        <w:bidi w:val="0"/>
        <w:spacing w:before="0" w:after="240"/>
        <w:jc w:val="both"/>
        <w:rPr/>
      </w:pPr>
      <w:r>
        <w:rPr>
          <w:color w:val="000000"/>
        </w:rPr>
        <w:t>“</w:t>
      </w:r>
      <w:r>
        <w:rPr>
          <w:rFonts w:ascii="Times New Roman" w:hAnsi="Times New Roman"/>
          <w:color w:val="000000"/>
          <w:sz w:val="24"/>
          <w:u w:val="single"/>
        </w:rPr>
        <w:t>Tranche 2 Closing</w:t>
      </w:r>
      <w:r>
        <w:rPr>
          <w:rFonts w:ascii="Times New Roman" w:hAnsi="Times New Roman"/>
          <w:color w:val="000000"/>
          <w:sz w:val="20"/>
        </w:rPr>
        <w:t xml:space="preserve">” </w:t>
      </w:r>
      <w:r>
        <w:rPr>
          <w:rFonts w:ascii="Times New Roman" w:hAnsi="Times New Roman"/>
          <w:color w:val="000000"/>
          <w:sz w:val="24"/>
        </w:rPr>
        <w:t>is defined in Section 3.7(a).</w:t>
      </w:r>
    </w:p>
    <w:p>
      <w:pPr>
        <w:pStyle w:val="TextBody"/>
        <w:bidi w:val="0"/>
        <w:spacing w:before="0" w:after="240"/>
        <w:jc w:val="both"/>
        <w:rPr/>
      </w:pPr>
      <w:r>
        <w:rPr>
          <w:color w:val="000000"/>
        </w:rPr>
        <w:t>“</w:t>
      </w:r>
      <w:r>
        <w:rPr>
          <w:rFonts w:ascii="Times New Roman" w:hAnsi="Times New Roman"/>
          <w:color w:val="000000"/>
          <w:sz w:val="24"/>
          <w:u w:val="single"/>
        </w:rPr>
        <w:t>Tranche 2 Purchase Price</w:t>
      </w:r>
      <w:r>
        <w:rPr>
          <w:rFonts w:ascii="Times New Roman" w:hAnsi="Times New Roman"/>
          <w:color w:val="000000"/>
          <w:sz w:val="20"/>
        </w:rPr>
        <w:t xml:space="preserve">” </w:t>
      </w:r>
      <w:r>
        <w:rPr>
          <w:rFonts w:ascii="Times New Roman" w:hAnsi="Times New Roman"/>
          <w:color w:val="000000"/>
          <w:sz w:val="24"/>
        </w:rPr>
        <w:t>means $100,000,000.</w:t>
      </w:r>
    </w:p>
    <w:p>
      <w:pPr>
        <w:pStyle w:val="TextBody"/>
        <w:bidi w:val="0"/>
        <w:spacing w:before="0" w:after="240"/>
        <w:jc w:val="both"/>
        <w:rPr/>
      </w:pPr>
      <w:r>
        <w:rPr>
          <w:color w:val="000000"/>
        </w:rPr>
        <w:t>“</w:t>
      </w:r>
      <w:r>
        <w:rPr>
          <w:rFonts w:ascii="Times New Roman" w:hAnsi="Times New Roman"/>
          <w:color w:val="000000"/>
          <w:sz w:val="24"/>
          <w:u w:val="single"/>
        </w:rPr>
        <w:t>Tranche 2 Trigger</w:t>
      </w:r>
      <w:r>
        <w:rPr>
          <w:rFonts w:ascii="Times New Roman" w:hAnsi="Times New Roman"/>
          <w:color w:val="000000"/>
          <w:sz w:val="20"/>
        </w:rPr>
        <w:t xml:space="preserve">” </w:t>
      </w:r>
      <w:r>
        <w:rPr>
          <w:rFonts w:ascii="Times New Roman" w:hAnsi="Times New Roman"/>
          <w:color w:val="000000"/>
          <w:sz w:val="24"/>
        </w:rPr>
        <w:t>means [ * * * ].</w:t>
      </w:r>
    </w:p>
    <w:p>
      <w:pPr>
        <w:pStyle w:val="TextBody"/>
        <w:bidi w:val="0"/>
        <w:spacing w:before="0" w:after="240"/>
        <w:jc w:val="both"/>
        <w:rPr/>
      </w:pPr>
      <w:r>
        <w:rPr>
          <w:color w:val="000000"/>
        </w:rPr>
        <w:t>“</w:t>
      </w:r>
      <w:r>
        <w:rPr>
          <w:rFonts w:ascii="Times New Roman" w:hAnsi="Times New Roman"/>
          <w:color w:val="000000"/>
          <w:sz w:val="24"/>
          <w:u w:val="single"/>
        </w:rPr>
        <w:t>Tranche 3 Closing</w:t>
      </w:r>
      <w:r>
        <w:rPr>
          <w:rFonts w:ascii="Times New Roman" w:hAnsi="Times New Roman"/>
          <w:color w:val="000000"/>
          <w:sz w:val="20"/>
        </w:rPr>
        <w:t xml:space="preserve">” </w:t>
      </w:r>
      <w:r>
        <w:rPr>
          <w:rFonts w:ascii="Times New Roman" w:hAnsi="Times New Roman"/>
          <w:color w:val="000000"/>
          <w:sz w:val="24"/>
        </w:rPr>
        <w:t>is defined in Section 3.7(b).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Tranche 3 Purchase Price</w:t>
      </w:r>
      <w:r>
        <w:rPr>
          <w:rFonts w:ascii="Times New Roman" w:hAnsi="Times New Roman"/>
          <w:color w:val="000000"/>
          <w:sz w:val="20"/>
        </w:rPr>
        <w:t xml:space="preserve">” </w:t>
      </w:r>
      <w:r>
        <w:rPr>
          <w:rFonts w:ascii="Times New Roman" w:hAnsi="Times New Roman"/>
          <w:color w:val="000000"/>
          <w:sz w:val="24"/>
        </w:rPr>
        <w:t>means $200,000,000.</w:t>
      </w:r>
    </w:p>
    <w:p>
      <w:pPr>
        <w:pStyle w:val="TextBody"/>
        <w:bidi w:val="0"/>
        <w:spacing w:before="0" w:after="240"/>
        <w:jc w:val="both"/>
        <w:rPr>
          <w:color w:val="000000"/>
        </w:rPr>
      </w:pPr>
      <w:r>
        <w:rPr>
          <w:color w:val="000000"/>
        </w:rPr>
        <w:t>“</w:t>
      </w:r>
      <w:r>
        <w:rPr>
          <w:rFonts w:ascii="Times New Roman" w:hAnsi="Times New Roman"/>
          <w:color w:val="000000"/>
          <w:sz w:val="24"/>
        </w:rPr>
        <w:t>Tranche 3 Trigger” means [ * * * ].</w:t>
      </w:r>
    </w:p>
    <w:p>
      <w:pPr>
        <w:pStyle w:val="TextBody"/>
        <w:bidi w:val="0"/>
        <w:spacing w:before="0" w:after="240"/>
        <w:jc w:val="both"/>
        <w:rPr/>
      </w:pPr>
      <w:r>
        <w:rPr>
          <w:color w:val="000000"/>
        </w:rPr>
        <w:t>“</w:t>
      </w:r>
      <w:r>
        <w:rPr>
          <w:rFonts w:ascii="Times New Roman" w:hAnsi="Times New Roman"/>
          <w:color w:val="000000"/>
          <w:sz w:val="24"/>
          <w:u w:val="single"/>
        </w:rPr>
        <w:t>Tranche 4 Actual Purchase Price</w:t>
      </w:r>
      <w:r>
        <w:rPr>
          <w:rFonts w:ascii="Times New Roman" w:hAnsi="Times New Roman"/>
          <w:color w:val="000000"/>
          <w:sz w:val="20"/>
        </w:rPr>
        <w:t xml:space="preserve">” </w:t>
      </w:r>
      <w:r>
        <w:rPr>
          <w:rFonts w:ascii="Times New Roman" w:hAnsi="Times New Roman"/>
          <w:color w:val="000000"/>
          <w:sz w:val="24"/>
        </w:rPr>
        <w:t xml:space="preserve">means (a) the Tranche 4 Minimum Purchase Price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(b) the portion of the Tranche 4 Additional Purchase Price elected by the Seller to be funded in the Tranche 4 Notice. For the avoidance of doubt, in no event shall the Tranche 4 Actual Purchase Price exceed the Tranche 4 Maximum Purchase Price.</w:t>
      </w:r>
    </w:p>
    <w:p>
      <w:pPr>
        <w:pStyle w:val="TextBody"/>
        <w:bidi w:val="0"/>
        <w:spacing w:before="0" w:after="240"/>
        <w:jc w:val="both"/>
        <w:rPr/>
      </w:pPr>
      <w:r>
        <w:rPr>
          <w:color w:val="000000"/>
        </w:rPr>
        <w:t>“</w:t>
      </w:r>
      <w:r>
        <w:rPr>
          <w:rFonts w:ascii="Times New Roman" w:hAnsi="Times New Roman"/>
          <w:color w:val="000000"/>
          <w:sz w:val="24"/>
          <w:u w:val="single"/>
        </w:rPr>
        <w:t>Tranche 4 Additional Purchase Price</w:t>
      </w:r>
      <w:r>
        <w:rPr>
          <w:rFonts w:ascii="Times New Roman" w:hAnsi="Times New Roman"/>
          <w:color w:val="000000"/>
          <w:sz w:val="20"/>
        </w:rPr>
        <w:t xml:space="preserve">” </w:t>
      </w:r>
      <w:r>
        <w:rPr>
          <w:rFonts w:ascii="Times New Roman" w:hAnsi="Times New Roman"/>
          <w:color w:val="000000"/>
          <w:sz w:val="24"/>
        </w:rPr>
        <w:t>means $150,000,000.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Tranche 4 Cap</w:t>
      </w:r>
      <w:r>
        <w:rPr>
          <w:rFonts w:ascii="Times New Roman" w:hAnsi="Times New Roman"/>
          <w:color w:val="000000"/>
          <w:sz w:val="20"/>
        </w:rPr>
        <w:t xml:space="preserve">” </w:t>
      </w:r>
      <w:r>
        <w:rPr>
          <w:rFonts w:ascii="Times New Roman" w:hAnsi="Times New Roman"/>
          <w:color w:val="000000"/>
          <w:sz w:val="24"/>
        </w:rPr>
        <w:t>means $1,000,000,000.</w:t>
      </w:r>
    </w:p>
    <w:p>
      <w:pPr>
        <w:pStyle w:val="TextBody"/>
        <w:bidi w:val="0"/>
        <w:spacing w:before="0" w:after="240"/>
        <w:jc w:val="both"/>
        <w:rPr/>
      </w:pPr>
      <w:r>
        <w:rPr>
          <w:color w:val="000000"/>
        </w:rPr>
        <w:t>“</w:t>
      </w:r>
      <w:r>
        <w:rPr>
          <w:rFonts w:ascii="Times New Roman" w:hAnsi="Times New Roman"/>
          <w:color w:val="000000"/>
          <w:sz w:val="24"/>
          <w:u w:val="single"/>
        </w:rPr>
        <w:t>Tranche 4 Cap Date</w:t>
      </w:r>
      <w:r>
        <w:rPr>
          <w:rFonts w:ascii="Times New Roman" w:hAnsi="Times New Roman"/>
          <w:color w:val="000000"/>
          <w:sz w:val="20"/>
        </w:rPr>
        <w:t xml:space="preserve">” </w:t>
      </w:r>
      <w:r>
        <w:rPr>
          <w:rFonts w:ascii="Times New Roman" w:hAnsi="Times New Roman"/>
          <w:color w:val="000000"/>
          <w:sz w:val="24"/>
        </w:rPr>
        <w:t>means the date on which the aggregate Revenue Payments with respect to the Tranche 4 Incremental Revenue Participation Right received by the Buyer equal the Tranche 4 Cap.</w:t>
      </w:r>
    </w:p>
    <w:p>
      <w:pPr>
        <w:pStyle w:val="TextBody"/>
        <w:bidi w:val="0"/>
        <w:spacing w:before="0" w:after="240"/>
        <w:jc w:val="both"/>
        <w:rPr/>
      </w:pPr>
      <w:r>
        <w:rPr>
          <w:color w:val="000000"/>
        </w:rPr>
        <w:t>“</w:t>
      </w:r>
      <w:r>
        <w:rPr>
          <w:rFonts w:ascii="Times New Roman" w:hAnsi="Times New Roman"/>
          <w:color w:val="000000"/>
          <w:sz w:val="24"/>
          <w:u w:val="single"/>
        </w:rPr>
        <w:t>Tranche 4 Closing</w:t>
      </w:r>
      <w:r>
        <w:rPr>
          <w:rFonts w:ascii="Times New Roman" w:hAnsi="Times New Roman"/>
          <w:color w:val="000000"/>
          <w:sz w:val="20"/>
        </w:rPr>
        <w:t xml:space="preserve">” </w:t>
      </w:r>
      <w:r>
        <w:rPr>
          <w:rFonts w:ascii="Times New Roman" w:hAnsi="Times New Roman"/>
          <w:color w:val="000000"/>
          <w:sz w:val="24"/>
        </w:rPr>
        <w:t>is defined in Section 3.7(c).</w:t>
      </w:r>
    </w:p>
    <w:p>
      <w:pPr>
        <w:pStyle w:val="TextBody"/>
        <w:bidi w:val="0"/>
        <w:spacing w:before="0" w:after="240"/>
        <w:jc w:val="both"/>
        <w:rPr/>
      </w:pPr>
      <w:r>
        <w:rPr>
          <w:color w:val="000000"/>
        </w:rPr>
        <w:t>“</w:t>
      </w:r>
      <w:r>
        <w:rPr>
          <w:rFonts w:ascii="Times New Roman" w:hAnsi="Times New Roman"/>
          <w:color w:val="000000"/>
          <w:sz w:val="24"/>
          <w:u w:val="single"/>
        </w:rPr>
        <w:t>Tranche 4 Incremental Revenue Participation Right</w:t>
      </w:r>
      <w:r>
        <w:rPr>
          <w:rFonts w:ascii="Times New Roman" w:hAnsi="Times New Roman"/>
          <w:color w:val="000000"/>
          <w:sz w:val="20"/>
        </w:rPr>
        <w:t xml:space="preserve">” </w:t>
      </w:r>
      <w:r>
        <w:rPr>
          <w:rFonts w:ascii="Times New Roman" w:hAnsi="Times New Roman"/>
          <w:color w:val="000000"/>
          <w:sz w:val="24"/>
        </w:rPr>
        <w:t>means the portion of the Revenue Participation Right in respect of the Tranche 4 Revenue Percentage.</w:t>
      </w:r>
    </w:p>
    <w:p>
      <w:pPr>
        <w:pStyle w:val="TextBody"/>
        <w:bidi w:val="0"/>
        <w:spacing w:before="0" w:after="240"/>
        <w:jc w:val="both"/>
        <w:rPr/>
      </w:pPr>
      <w:r>
        <w:rPr>
          <w:color w:val="000000"/>
        </w:rPr>
        <w:t>“</w:t>
      </w:r>
      <w:r>
        <w:rPr>
          <w:rFonts w:ascii="Times New Roman" w:hAnsi="Times New Roman"/>
          <w:color w:val="000000"/>
          <w:sz w:val="24"/>
          <w:u w:val="single"/>
        </w:rPr>
        <w:t>Tranche 4 Notice</w:t>
      </w:r>
      <w:r>
        <w:rPr>
          <w:rFonts w:ascii="Times New Roman" w:hAnsi="Times New Roman"/>
          <w:color w:val="000000"/>
          <w:sz w:val="20"/>
        </w:rPr>
        <w:t xml:space="preserve">” </w:t>
      </w:r>
      <w:r>
        <w:rPr>
          <w:rFonts w:ascii="Times New Roman" w:hAnsi="Times New Roman"/>
          <w:color w:val="000000"/>
          <w:sz w:val="24"/>
        </w:rPr>
        <w:t>is defined in Section 3.7(c).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Tranche 4 Maximum Purchase Price</w:t>
      </w:r>
      <w:r>
        <w:rPr>
          <w:rFonts w:ascii="Times New Roman" w:hAnsi="Times New Roman"/>
          <w:color w:val="000000"/>
          <w:sz w:val="20"/>
        </w:rPr>
        <w:t xml:space="preserve">” </w:t>
      </w:r>
      <w:r>
        <w:rPr>
          <w:rFonts w:ascii="Times New Roman" w:hAnsi="Times New Roman"/>
          <w:color w:val="000000"/>
          <w:sz w:val="24"/>
        </w:rPr>
        <w:t>means $400,000,000.</w:t>
      </w:r>
    </w:p>
    <w:p>
      <w:pPr>
        <w:pStyle w:val="TextBody"/>
        <w:bidi w:val="0"/>
        <w:spacing w:before="0" w:after="240"/>
        <w:jc w:val="both"/>
        <w:rPr/>
      </w:pPr>
      <w:r>
        <w:rPr>
          <w:color w:val="000000"/>
        </w:rPr>
        <w:t>“</w:t>
      </w:r>
      <w:r>
        <w:rPr>
          <w:rFonts w:ascii="Times New Roman" w:hAnsi="Times New Roman"/>
          <w:color w:val="000000"/>
          <w:sz w:val="24"/>
          <w:u w:val="single"/>
        </w:rPr>
        <w:t>Tranche 4 Minimum Purchase Price</w:t>
      </w:r>
      <w:r>
        <w:rPr>
          <w:rFonts w:ascii="Times New Roman" w:hAnsi="Times New Roman"/>
          <w:color w:val="000000"/>
          <w:sz w:val="20"/>
        </w:rPr>
        <w:t xml:space="preserve">” </w:t>
      </w:r>
      <w:r>
        <w:rPr>
          <w:rFonts w:ascii="Times New Roman" w:hAnsi="Times New Roman"/>
          <w:color w:val="000000"/>
          <w:sz w:val="24"/>
        </w:rPr>
        <w:t>means $250,000,000.</w:t>
      </w:r>
    </w:p>
    <w:p>
      <w:pPr>
        <w:pStyle w:val="TextBody"/>
        <w:bidi w:val="0"/>
        <w:spacing w:before="0" w:after="240"/>
        <w:jc w:val="both"/>
        <w:rPr/>
      </w:pPr>
      <w:r>
        <w:rPr>
          <w:color w:val="000000"/>
        </w:rPr>
        <w:t>“</w:t>
      </w:r>
      <w:r>
        <w:rPr>
          <w:rFonts w:ascii="Times New Roman" w:hAnsi="Times New Roman"/>
          <w:color w:val="000000"/>
          <w:sz w:val="24"/>
          <w:u w:val="single"/>
        </w:rPr>
        <w:t>Tranche 4 Purchase Price</w:t>
      </w:r>
      <w:r>
        <w:rPr>
          <w:rFonts w:ascii="Times New Roman" w:hAnsi="Times New Roman"/>
          <w:color w:val="000000"/>
          <w:sz w:val="20"/>
        </w:rPr>
        <w:t xml:space="preserve">” </w:t>
      </w:r>
      <w:r>
        <w:rPr>
          <w:rFonts w:ascii="Times New Roman" w:hAnsi="Times New Roman"/>
          <w:color w:val="000000"/>
          <w:sz w:val="24"/>
        </w:rPr>
        <w:t>means the Tranche 4 Minimum Purchase Price; provided, that if the Seller exercises the option to require the Buyer to pay to the Seller a portion of, or the entirety of, the Tranche 4 Additional Purchase Price pursuant to Section 3.7(c), then the “</w:t>
      </w:r>
      <w:r>
        <w:rPr>
          <w:rFonts w:ascii="Times New Roman" w:hAnsi="Times New Roman"/>
          <w:color w:val="000000"/>
          <w:sz w:val="24"/>
          <w:u w:val="single"/>
        </w:rPr>
        <w:t>Tranche 4 Purchase Price</w:t>
      </w:r>
      <w:r>
        <w:rPr>
          <w:rFonts w:ascii="Times New Roman" w:hAnsi="Times New Roman"/>
          <w:color w:val="000000"/>
          <w:sz w:val="20"/>
        </w:rPr>
        <w:t xml:space="preserve">” </w:t>
      </w:r>
      <w:r>
        <w:rPr>
          <w:rFonts w:ascii="Times New Roman" w:hAnsi="Times New Roman"/>
          <w:color w:val="000000"/>
          <w:sz w:val="24"/>
        </w:rPr>
        <w:t>means the Tranche 4 Actual Purchase Price.</w:t>
      </w:r>
    </w:p>
    <w:p>
      <w:pPr>
        <w:pStyle w:val="TextBody"/>
        <w:bidi w:val="0"/>
        <w:spacing w:before="0" w:after="240"/>
        <w:jc w:val="both"/>
        <w:rPr/>
      </w:pPr>
      <w:r>
        <w:rPr>
          <w:color w:val="000000"/>
        </w:rPr>
        <w:t>“</w:t>
      </w:r>
      <w:r>
        <w:rPr>
          <w:rFonts w:ascii="Times New Roman" w:hAnsi="Times New Roman"/>
          <w:color w:val="000000"/>
          <w:sz w:val="24"/>
          <w:u w:val="single"/>
        </w:rPr>
        <w:t>Tranche 4 Revenue Percentage</w:t>
      </w:r>
      <w:r>
        <w:rPr>
          <w:rFonts w:ascii="Times New Roman" w:hAnsi="Times New Roman"/>
          <w:color w:val="000000"/>
          <w:sz w:val="20"/>
        </w:rPr>
        <w:t xml:space="preserve">” </w:t>
      </w:r>
      <w:r>
        <w:rPr>
          <w:rFonts w:ascii="Times New Roman" w:hAnsi="Times New Roman"/>
          <w:color w:val="000000"/>
          <w:sz w:val="24"/>
        </w:rPr>
        <w:t xml:space="preserve">means, from and after the Tranche 4 Closing, the rates in respect of Annual Aggregate Product Net Sales set forth in the “Tranche 4 Revenue Percentage” column on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 xml:space="preserve">(subject to proportional adjustment in accordance with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if (a) the Tranche 4 Purchase Price is less than the Tranche 4 Maximum Purchase Price and (b) if the Buyer receives a CoC Optional Payment).</w:t>
      </w:r>
    </w:p>
    <w:p>
      <w:pPr>
        <w:pStyle w:val="TextBody"/>
        <w:bidi w:val="0"/>
        <w:spacing w:before="0" w:after="240"/>
        <w:jc w:val="both"/>
        <w:rPr>
          <w:color w:val="000000"/>
        </w:rPr>
      </w:pPr>
      <w:r>
        <w:rPr>
          <w:color w:val="000000"/>
        </w:rPr>
        <w:t>“</w:t>
      </w:r>
      <w:r>
        <w:rPr>
          <w:rFonts w:ascii="Times New Roman" w:hAnsi="Times New Roman"/>
          <w:color w:val="000000"/>
          <w:sz w:val="24"/>
        </w:rPr>
        <w:t>Tranche 4 Trigger” means [ * * * ].</w:t>
      </w:r>
    </w:p>
    <w:p>
      <w:pPr>
        <w:pStyle w:val="TextBody"/>
        <w:bidi w:val="0"/>
        <w:spacing w:before="0" w:after="240"/>
        <w:jc w:val="both"/>
        <w:rPr/>
      </w:pPr>
      <w:r>
        <w:rPr>
          <w:color w:val="000000"/>
        </w:rPr>
        <w:t>“</w:t>
      </w:r>
      <w:r>
        <w:rPr>
          <w:rFonts w:ascii="Times New Roman" w:hAnsi="Times New Roman"/>
          <w:color w:val="000000"/>
          <w:sz w:val="24"/>
          <w:u w:val="single"/>
        </w:rPr>
        <w:t>Tranche Closing</w:t>
      </w:r>
      <w:r>
        <w:rPr>
          <w:rFonts w:ascii="Times New Roman" w:hAnsi="Times New Roman"/>
          <w:color w:val="000000"/>
          <w:sz w:val="20"/>
        </w:rPr>
        <w:t xml:space="preserve">” </w:t>
      </w:r>
      <w:r>
        <w:rPr>
          <w:rFonts w:ascii="Times New Roman" w:hAnsi="Times New Roman"/>
          <w:color w:val="000000"/>
          <w:sz w:val="24"/>
        </w:rPr>
        <w:t>means each of the Tranche 2 Closing, the Tranche 3 Closing, and the Tranche 4 Closing, as applicable.</w:t>
      </w:r>
    </w:p>
    <w:p>
      <w:pPr>
        <w:pStyle w:val="TextBody"/>
        <w:bidi w:val="0"/>
        <w:spacing w:before="0" w:after="240"/>
        <w:jc w:val="both"/>
        <w:rPr/>
      </w:pPr>
      <w:r>
        <w:rPr>
          <w:color w:val="000000"/>
        </w:rPr>
        <w:t>“</w:t>
      </w:r>
      <w:r>
        <w:rPr>
          <w:rFonts w:ascii="Times New Roman" w:hAnsi="Times New Roman"/>
          <w:color w:val="000000"/>
          <w:sz w:val="24"/>
          <w:u w:val="single"/>
        </w:rPr>
        <w:t>Tranche Payments</w:t>
      </w:r>
      <w:r>
        <w:rPr>
          <w:rFonts w:ascii="Times New Roman" w:hAnsi="Times New Roman"/>
          <w:color w:val="000000"/>
          <w:sz w:val="20"/>
        </w:rPr>
        <w:t xml:space="preserve">” </w:t>
      </w:r>
      <w:r>
        <w:rPr>
          <w:rFonts w:ascii="Times New Roman" w:hAnsi="Times New Roman"/>
          <w:color w:val="000000"/>
          <w:sz w:val="24"/>
        </w:rPr>
        <w:t>means, as of a date of determination, the Tranche 2 Purchase Price, the Tranche 3 Purchase Price, and the Tranche 4 Purchase Price, as applicable.</w:t>
      </w:r>
    </w:p>
    <w:p>
      <w:pPr>
        <w:pStyle w:val="TextBody"/>
        <w:bidi w:val="0"/>
        <w:spacing w:before="0" w:after="240"/>
        <w:jc w:val="both"/>
        <w:rPr/>
      </w:pPr>
      <w:r>
        <w:rPr>
          <w:color w:val="000000"/>
        </w:rPr>
        <w:t>“</w:t>
      </w:r>
      <w:r>
        <w:rPr>
          <w:rFonts w:ascii="Times New Roman" w:hAnsi="Times New Roman"/>
          <w:color w:val="000000"/>
          <w:sz w:val="24"/>
          <w:u w:val="single"/>
        </w:rPr>
        <w:t>Transaction Documents</w:t>
      </w:r>
      <w:r>
        <w:rPr>
          <w:rFonts w:ascii="Times New Roman" w:hAnsi="Times New Roman"/>
          <w:color w:val="000000"/>
          <w:sz w:val="20"/>
        </w:rPr>
        <w:t xml:space="preserve">” </w:t>
      </w:r>
      <w:r>
        <w:rPr>
          <w:rFonts w:ascii="Times New Roman" w:hAnsi="Times New Roman"/>
          <w:color w:val="000000"/>
          <w:sz w:val="24"/>
        </w:rPr>
        <w:t>means this Agreement and each Bill of Sale.</w:t>
      </w:r>
    </w:p>
    <w:p>
      <w:pPr>
        <w:pStyle w:val="TextBody"/>
        <w:bidi w:val="0"/>
        <w:spacing w:before="0" w:after="240"/>
        <w:jc w:val="both"/>
        <w:rPr/>
      </w:pPr>
      <w:r>
        <w:rPr>
          <w:color w:val="000000"/>
        </w:rPr>
        <w:t>“</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means the Uniform Commercial Code in the State of New York; provided, that, if with respect to any financing statement or by reason of any provisions of law, the perfection, priority or the effect of perfection, priority or non-perfection of the security interests granted to the Buyer pursuant to this Agreement is governed by the Uniform Commercial Code in a jurisdiction of the United States other than New York, then “UCC” means the Uniform Commercial Code in such other jurisdiction for purposes of the provisions of this Agreement and any financing statement relating to such perfection, priority or effect of perfection, priority or non-perfection.</w:t>
      </w:r>
    </w:p>
    <w:p>
      <w:pPr>
        <w:pStyle w:val="TextBody"/>
        <w:bidi w:val="0"/>
        <w:spacing w:before="0" w:after="240"/>
        <w:jc w:val="both"/>
        <w:rPr/>
      </w:pPr>
      <w:r>
        <w:rPr>
          <w:color w:val="000000"/>
        </w:rPr>
        <w:t>“</w:t>
      </w:r>
      <w:r>
        <w:rPr>
          <w:rFonts w:ascii="Times New Roman" w:hAnsi="Times New Roman"/>
          <w:color w:val="000000"/>
          <w:sz w:val="24"/>
          <w:u w:val="single"/>
        </w:rPr>
        <w:t>Unfunded Tranches 2 and 3 Amount</w:t>
      </w:r>
      <w:r>
        <w:rPr>
          <w:rFonts w:ascii="Times New Roman" w:hAnsi="Times New Roman"/>
          <w:color w:val="000000"/>
          <w:sz w:val="20"/>
        </w:rPr>
        <w:t xml:space="preserve">” </w:t>
      </w:r>
      <w:r>
        <w:rPr>
          <w:rFonts w:ascii="Times New Roman" w:hAnsi="Times New Roman"/>
          <w:color w:val="000000"/>
          <w:sz w:val="24"/>
        </w:rPr>
        <w:t xml:space="preserve">means, as of a date of determination, (x) $300,000,000, </w:t>
      </w:r>
      <w:r>
        <w:rPr>
          <w:rFonts w:ascii="Times New Roman" w:hAnsi="Times New Roman"/>
          <w:i/>
          <w:color w:val="000000"/>
          <w:sz w:val="24"/>
        </w:rPr>
        <w:t xml:space="preserve">minus </w:t>
      </w:r>
      <w:r>
        <w:rPr>
          <w:rFonts w:ascii="Times New Roman" w:hAnsi="Times New Roman"/>
          <w:color w:val="000000"/>
          <w:sz w:val="24"/>
        </w:rPr>
        <w:t xml:space="preserve">(y) solely if the Tranche 2 Closing has occurred on or prior to such date of determination, the Tranche 2 Purchase Price,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(z) solely if the Tranche 3 Closing has occurred on or prior to such date of determination, the Tranche 3 Purchase Price.</w:t>
      </w:r>
    </w:p>
    <w:p>
      <w:pPr>
        <w:pStyle w:val="TextBody"/>
        <w:bidi w:val="0"/>
        <w:spacing w:before="0" w:after="240"/>
        <w:jc w:val="both"/>
        <w:rPr/>
      </w:pPr>
      <w:r>
        <w:rPr>
          <w:color w:val="000000"/>
        </w:rPr>
        <w:t>“</w:t>
      </w:r>
      <w:r>
        <w:rPr>
          <w:rFonts w:ascii="Times New Roman" w:hAnsi="Times New Roman"/>
          <w:color w:val="000000"/>
          <w:sz w:val="24"/>
          <w:u w:val="single"/>
        </w:rPr>
        <w:t>United States</w:t>
      </w:r>
      <w:r>
        <w:rPr>
          <w:rFonts w:ascii="Times New Roman" w:hAnsi="Times New Roman"/>
          <w:color w:val="000000"/>
          <w:sz w:val="20"/>
        </w:rPr>
        <w:t xml:space="preserve">” </w:t>
      </w:r>
      <w:r>
        <w:rPr>
          <w:rFonts w:ascii="Times New Roman" w:hAnsi="Times New Roman"/>
          <w:color w:val="000000"/>
          <w:sz w:val="24"/>
        </w:rPr>
        <w:t>means the United States of America (including its territories and possessions).</w:t>
      </w:r>
    </w:p>
    <w:p>
      <w:pPr>
        <w:pStyle w:val="TextBody"/>
        <w:bidi w:val="0"/>
        <w:spacing w:before="0" w:after="240"/>
        <w:jc w:val="both"/>
        <w:rPr/>
      </w:pPr>
      <w:r>
        <w:rPr>
          <w:color w:val="000000"/>
        </w:rPr>
        <w:t>“</w:t>
      </w:r>
      <w:r>
        <w:rPr>
          <w:rFonts w:ascii="Times New Roman" w:hAnsi="Times New Roman"/>
          <w:color w:val="000000"/>
          <w:sz w:val="24"/>
          <w:u w:val="single"/>
        </w:rPr>
        <w:t>Upfront Purchase Price</w:t>
      </w:r>
      <w:r>
        <w:rPr>
          <w:rFonts w:ascii="Times New Roman" w:hAnsi="Times New Roman"/>
          <w:color w:val="000000"/>
          <w:sz w:val="20"/>
        </w:rPr>
        <w:t xml:space="preserve">” </w:t>
      </w:r>
      <w:r>
        <w:rPr>
          <w:rFonts w:ascii="Times New Roman" w:hAnsi="Times New Roman"/>
          <w:color w:val="000000"/>
          <w:sz w:val="24"/>
        </w:rPr>
        <w:t>means $100,000,000.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US Code</w:t>
      </w:r>
      <w:r>
        <w:rPr>
          <w:rFonts w:ascii="Times New Roman" w:hAnsi="Times New Roman"/>
          <w:color w:val="000000"/>
          <w:sz w:val="20"/>
        </w:rPr>
        <w:t xml:space="preserve">” </w:t>
      </w:r>
      <w:r>
        <w:rPr>
          <w:rFonts w:ascii="Times New Roman" w:hAnsi="Times New Roman"/>
          <w:color w:val="000000"/>
          <w:sz w:val="24"/>
        </w:rPr>
        <w:t>means the U.S.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Withholding Action</w:t>
      </w:r>
      <w:r>
        <w:rPr>
          <w:rFonts w:ascii="Times New Roman" w:hAnsi="Times New Roman"/>
          <w:color w:val="000000"/>
          <w:sz w:val="20"/>
        </w:rPr>
        <w:t xml:space="preserve">” </w:t>
      </w:r>
      <w:r>
        <w:rPr>
          <w:rFonts w:ascii="Times New Roman" w:hAnsi="Times New Roman"/>
          <w:color w:val="000000"/>
          <w:sz w:val="24"/>
        </w:rPr>
        <w:t>means, in the case of either Party, (i) a permitted assignment or other transfer of this Agreement (in whole or in part) by such Party to an Affiliate or a third party outside of the Party’s jurisdiction of tax residence; (ii) the exercise by such Party of its rights under this Agreement (in whole or in part) through an Affiliate or third party outside of the Party’s jurisdiction of tax residence (or the direct exercise of such rights by an Affiliate of such Party outside of the Party’s jurisdiction of tax residence); (iii) a redomiciliation of such Party,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an assignee or successor of such Party to a jurisdiction outside such Person’s jurisdiction of tax residence; or (iv) any action taken by such Party after the Effective Date that causes this Agreement or any payment contemplated by this Agreement to become subject to tax (including by virtue of withholding or deduction) in one or more jurisdictions outside such Party’s jurisdiction of tax residence after the Effective Date.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1.2</w:t>
      </w:r>
      <w:r>
        <w:rPr>
          <w:rFonts w:ascii="Times New Roman" w:hAnsi="Times New Roman"/>
          <w:color w:val="000000"/>
          <w:sz w:val="20"/>
        </w:rPr>
        <w:t xml:space="preserve"> </w:t>
      </w:r>
      <w:r>
        <w:rPr>
          <w:rFonts w:ascii="Times New Roman" w:hAnsi="Times New Roman"/>
          <w:color w:val="000000"/>
          <w:sz w:val="24"/>
          <w:u w:val="single"/>
        </w:rPr>
        <w:t>Certain Interpretations</w:t>
      </w:r>
      <w:r>
        <w:rPr>
          <w:rFonts w:ascii="Times New Roman" w:hAnsi="Times New Roman"/>
          <w:color w:val="000000"/>
          <w:sz w:val="24"/>
        </w:rPr>
        <w:t>. Except where expressly stated otherwise in this Agreement, the following rules of interpretation apply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“either” and “or” are not exclusive and “include,” “includes” and “including” are not limiting and shall be deemed to be followed by the words “without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“extent” in the phrase “to the extent” means the degree to which a subject or other thing extends, and such phrase does not mean simply “if;”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“hereof,” “hereto,” “herein” and “hereunder” and words of similar import when used in this Agreement refer to this Agreement as a whole and not to any particular provision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references to a Person are also to its permitted successors and assigns, and references to a Governmental Entity are also to its succeeding governing entity in the relevant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definitions are applicable to the singular as well as the plural forms of such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references to an “Article,” “Section” or “Exhibit” refer to an Article or Section of, or an Exhibit to, this Agreement, and references to a “Schedule” refer to the corresponding part of the Disclosure Schedule;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provisions referring to matters that would or could have, or would or could reasonably be expected to have, or similar phrases, shall be deemed to have such result or expectation with or without the giving of notice or the passage of time, or both;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accounting terms not specifically or completely defined herein shall be construed in conformity with, and all financial data (including financial ratios and other financial calculations) required to be submitted pursuant to this Agreement or any related document shall be prepared in conformity with GAAP;</w:t>
      </w:r>
    </w:p>
    <w:p>
      <w:pPr>
        <w:pStyle w:val="TextBody"/>
        <w:bidi w:val="0"/>
        <w:spacing w:before="0" w:after="240"/>
        <w:jc w:val="both"/>
        <w:rPr>
          <w:rFonts w:ascii="Times New Roman" w:hAnsi="Times New Roman"/>
          <w:sz w:val="20"/>
        </w:rPr>
      </w:pPr>
      <w:r>
        <w:rPr>
          <w:rFonts w:ascii="Times New Roman" w:hAnsi="Times New Roman"/>
          <w:color w:val="000000"/>
          <w:sz w:val="24"/>
        </w:rPr>
        <w:t>(i) for covenants that are to be undertaken “reasonably” by the Seller or its Affiliates, such actions (or inactions) shall take into account the Buyer’s economic interest in the Revenue Participation Right and the Revenue Payments and the impact of the applicable action (or inaction) on such interest;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references to a law include any amendment or modification to such law and any rules and regulations issued thereunder, whether such amendment or modification is made, or issuance of such rules and regulations occurs, before, on, or after the Effective Date; and</w:t>
      </w:r>
    </w:p>
    <w:p>
      <w:pPr>
        <w:pStyle w:val="TextBody"/>
        <w:bidi w:val="0"/>
        <w:spacing w:before="0" w:after="240"/>
        <w:jc w:val="both"/>
        <w:rPr>
          <w:rFonts w:ascii="Times New Roman" w:hAnsi="Times New Roman"/>
          <w:sz w:val="20"/>
        </w:rPr>
      </w:pPr>
      <w:r>
        <w:rPr>
          <w:rFonts w:ascii="Times New Roman" w:hAnsi="Times New Roman"/>
          <w:color w:val="000000"/>
          <w:sz w:val="24"/>
        </w:rPr>
        <w:t>(k) references to “$” or otherwise to dollar amounts refer to the lawful currency of the United States.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1.3</w:t>
      </w:r>
      <w:r>
        <w:rPr>
          <w:rFonts w:ascii="Times New Roman" w:hAnsi="Times New Roman"/>
          <w:color w:val="000000"/>
          <w:sz w:val="20"/>
        </w:rPr>
        <w:t xml:space="preserve"> </w:t>
      </w:r>
      <w:r>
        <w:rPr>
          <w:rFonts w:ascii="Times New Roman" w:hAnsi="Times New Roman"/>
          <w:color w:val="000000"/>
          <w:sz w:val="24"/>
          <w:u w:val="single"/>
        </w:rPr>
        <w:t>Headings</w:t>
      </w:r>
      <w:r>
        <w:rPr>
          <w:rFonts w:ascii="Times New Roman" w:hAnsi="Times New Roman"/>
          <w:color w:val="000000"/>
          <w:sz w:val="24"/>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ARTICLE 2</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PURCHASE, SALE AND ASSIGNMENT OF THE REVENUE PARTICIPATION RIGHT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u w:val="single"/>
        </w:rPr>
        <w:t>Purchase, Sale and Assignment</w:t>
      </w:r>
      <w:r>
        <w:rPr>
          <w:rFonts w:ascii="Times New Roman" w:hAnsi="Times New Roman"/>
          <w:color w:val="000000"/>
          <w:sz w:val="24"/>
        </w:rPr>
        <w:t>. On the Effective Date and upon the terms and subject to the conditions of this Agreement, in exchange for the Upfront Purchase Price, the Seller shall sell, transfer, assign and convey to the Buyer, and the Buyer shall purchase, acquire and accept from the Seller, the Initial Revenue Participation Right free and clear of all Liens (other than Permitted Liens). From and after the Effective Date, the Seller relinquishes all of the Seller’s and its Affiliates’ right, title and interest in and to the Initial Revenue Participation Right, and all such right, title and interest shall vest in the Buyer. In addition, the Seller hereby agrees to pay to the Buyer the Revenue Payments on the terms and conditions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u w:val="single"/>
        </w:rPr>
        <w:t>No Assumed Obligations, Etc.</w:t>
      </w:r>
      <w:r>
        <w:rPr>
          <w:rFonts w:ascii="Times New Roman" w:hAnsi="Times New Roman"/>
          <w:color w:val="000000"/>
          <w:sz w:val="20"/>
        </w:rPr>
        <w:t xml:space="preserve"> </w:t>
      </w:r>
      <w:r>
        <w:rPr>
          <w:rFonts w:ascii="Times New Roman" w:hAnsi="Times New Roman"/>
          <w:color w:val="000000"/>
          <w:sz w:val="24"/>
        </w:rPr>
        <w:t>Notwithstanding any provision in this Agreement to the contrary, the Buyer is, on the terms and conditions set forth in this Agreement, only purchasing, acquiring and accepting the Initial Revenue Participation Right and, at the Tranche 4 Closing, the Tranche 4 Incremental Revenue Participation Right, and is not assuming any liability or obligation of the Seller or its Affiliates of whatever nature, whether presently in existence or arising or asserted hereafter. Except as specifically set forth herein in respect of the Initial Revenue Participation Right or the Tranche 4 Incremental Revenue Participation Right, the Buyer does not, by such purchase, acquisition and acceptance of the Initial Revenue Participation Right and, at the Tranche 4 Closing, the Tranche 4 Incremental Revenue Participation Right, acquire any other rights of the Seller or its Affiliates, or any other assets of the Seller or its Affiliates, in each case, other than to the extent of the Back-Up Security Interest granted pursuant to the terms of this Agreement. For the avoidance of doubt and notwithstanding anything herein to the contrary, nothing in this provision limits any other obligation of the Buyer or the Seller under this Agreement or otherwise, including any indemnity obligations under ARTICLE 8.</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2.3</w:t>
      </w:r>
      <w:r>
        <w:rPr>
          <w:rFonts w:ascii="Times New Roman" w:hAnsi="Times New Roman"/>
          <w:color w:val="000000"/>
          <w:sz w:val="20"/>
        </w:rPr>
        <w:t xml:space="preserve"> </w:t>
      </w:r>
      <w:r>
        <w:rPr>
          <w:rFonts w:ascii="Times New Roman" w:hAnsi="Times New Roman"/>
          <w:color w:val="000000"/>
          <w:sz w:val="24"/>
          <w:u w:val="single"/>
        </w:rPr>
        <w:t>True Sale</w:t>
      </w:r>
      <w:r>
        <w:rPr>
          <w:rFonts w:ascii="Times New Roman" w:hAnsi="Times New Roman"/>
          <w:color w:val="000000"/>
          <w:sz w:val="24"/>
        </w:rPr>
        <w:t>. It is the intention of the parties hereto that the sale, transfer, assignment and conveyance of the Initial Revenue Participation Right and the Tranche 4 Incremental Revenue Participation Right contemplated by this Agreement be, and is, a true, complete, absolute and irrevocable sale, transfer, assignment and conveyance by the Seller to the Buyer of all of the Seller’s rights, title and interests in and to the Initial Revenue Participation Right and the Tranche 4 Incremental Revenue Participation Right. Neither the Seller nor the Buyer intends the transactions contemplated by this Agreement to be, or for any purpose characterized as, a loan from the Buyer to the Seller, or a pledge, a financing transaction or a borrowing. It is the intention of the parties hereto that the beneficial interest in and title to the Initial Revenue Participation Right and the Tranche 4 Incremental Revenue Participation Right and any “proceeds” (as such term is defined in the UCC) thereof shall not be part of the Seller’s estate in the event of the filing of a petition by or against the Seller or any of its Affiliates under any Bankruptcy Laws. The Seller hereby waives, to the maximum extent permitted by applicable law, any right to contest or otherwise assert that each sale contemplated by this Agreement does not constitute a true, complete, absolute and irrevocable sale, transfer, assignment and conveyance by the Seller to the Buyer of all of the Seller’s right, title and interest in and to the Initial Revenue Participation Right and the Tranche 4 Incremental Revenue Participation Right under applicable law, which waiver shall, to the maximum extent permitted by applicable law, be enforceable against the Seller and its Affiliates in any bankruptcy or insolvency proceeding relating to the Seller or any of its Affiliates. Accordingly, the Seller shall treat the sale, transfer, assignment and conveyance of the Initial Revenue Participation Right and the Tranche 4 Incremental Revenue Participation Right as a sale of “accounts,” or “payment intangibles” (as appropriate) and the proceeds thereof in accordance with the UCC, and the Seller hereby authorizes the Buyer and its representatives to file one or more financing statements or any amendments to financing statements previously filed by the Buyer (and continuation statements with respect to such financing statements when applicable) naming the Seller as the “seller” and the Buyer as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rPr>
        <w:t>buyer” in respect of the Initial Revenue Participation Right at any time on or after the Effective Date and the Tranche 4 Incremental Revenue Participation Right at any time on or after the consummation of the Tranche 4 Closing. Not in derogation of the foregoing statement of the intent of the parties hereto in this regard, and for the purposes of providing additional assurance to the Buyer, including in the event that, despite the intent of the parties hereto, any sale, transfer, assignment and conveyance contemplated hereby is hereafter held not to be a sale, the Seller hereby grants to the Buyer a security interest in, to and under [ * * * ] as security for all of the Seller’s obligations under the Transaction Documents, including the obligations to pay the Revenue Payments ((i) through (iii), collectively, the “</w:t>
      </w:r>
      <w:r>
        <w:rPr>
          <w:rFonts w:ascii="Times New Roman" w:hAnsi="Times New Roman"/>
          <w:color w:val="000000"/>
          <w:sz w:val="24"/>
          <w:u w:val="single"/>
        </w:rPr>
        <w:t>Back-Up Security Interest</w:t>
      </w:r>
      <w:r>
        <w:rPr>
          <w:rFonts w:ascii="Times New Roman" w:hAnsi="Times New Roman"/>
          <w:color w:val="000000"/>
          <w:sz w:val="20"/>
        </w:rPr>
        <w:t>”</w:t>
      </w:r>
      <w:r>
        <w:rPr>
          <w:rFonts w:ascii="Times New Roman" w:hAnsi="Times New Roman"/>
          <w:color w:val="000000"/>
          <w:sz w:val="24"/>
        </w:rPr>
        <w:t>). In furtherance of the foregoing the Seller hereby authorizes the Buyer and its representatives to file one or more financing statements (and continuation statements and any amendments with respect to such financing statements when applicable) in such manner and such jurisdictions as are necessary or appropriate to perfect such Back-Up Security Interest; provided, that [ * * *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ARTICLE 3</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CLOSINGS; PAYMENT OF PURCHASE PRICE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u w:val="single"/>
        </w:rPr>
        <w:t>Initial Closing</w:t>
      </w:r>
      <w:r>
        <w:rPr>
          <w:rFonts w:ascii="Times New Roman" w:hAnsi="Times New Roman"/>
          <w:color w:val="000000"/>
          <w:sz w:val="24"/>
        </w:rPr>
        <w:t>. The purchase and sale of the Initial Revenue Participation Right shall take place remotely via the exchange of documents and signatures on the Effective Date or such other place, time and date as the parties hereto may mutually agree (such date, the “</w:t>
      </w:r>
      <w:r>
        <w:rPr>
          <w:rFonts w:ascii="Times New Roman" w:hAnsi="Times New Roman"/>
          <w:color w:val="000000"/>
          <w:sz w:val="24"/>
          <w:u w:val="single"/>
        </w:rPr>
        <w:t>Initial Closing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u w:val="single"/>
        </w:rPr>
        <w:t>Payment of Upfront Purchase Price</w:t>
      </w:r>
      <w:r>
        <w:rPr>
          <w:rFonts w:ascii="Times New Roman" w:hAnsi="Times New Roman"/>
          <w:color w:val="000000"/>
          <w:sz w:val="24"/>
        </w:rPr>
        <w:t xml:space="preserve">. On the Initial Closing Date, the Buyer shall pay to the Seller the Upfront Purchase Price by wire transfer of immediately available funds to the account specified on </w:t>
      </w:r>
      <w:r>
        <w:rPr>
          <w:rFonts w:ascii="Times New Roman" w:hAnsi="Times New Roman"/>
          <w:color w:val="000000"/>
          <w:sz w:val="24"/>
          <w:u w:val="single"/>
        </w:rPr>
        <w:t>Exhibit A</w:t>
      </w:r>
      <w:r>
        <w:rPr>
          <w:rFonts w:ascii="Times New Roman" w:hAnsi="Times New Roman"/>
          <w:color w:val="000000"/>
          <w:sz w:val="24"/>
        </w:rPr>
        <w:t>, without set-off, reduction or deduction, or withholding for or on account of any Taxes, provided that the Seller has complied with its obligations under Section 3.4 of this Agreement.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u w:val="single"/>
        </w:rPr>
        <w:t>Bill of Sale.</w:t>
      </w:r>
      <w:r>
        <w:rPr>
          <w:rFonts w:ascii="Times New Roman" w:hAnsi="Times New Roman"/>
          <w:color w:val="000000"/>
          <w:sz w:val="20"/>
        </w:rPr>
        <w:t xml:space="preserve"> </w:t>
      </w:r>
      <w:r>
        <w:rPr>
          <w:rFonts w:ascii="Times New Roman" w:hAnsi="Times New Roman"/>
          <w:color w:val="000000"/>
          <w:sz w:val="24"/>
        </w:rPr>
        <w:t xml:space="preserve">On the Initial Closing Date, upon confirmation of the receipt of the Upfront Purchase Price, the Seller shall deliver to the Buyer a duly executed bill of sale evidencing the sale, transfer, assignment and conveyance of the Initial Revenue Participation Right in the form attached hereto as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Bill of Sale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3.4</w:t>
      </w:r>
      <w:r>
        <w:rPr>
          <w:rFonts w:ascii="Times New Roman" w:hAnsi="Times New Roman"/>
          <w:color w:val="000000"/>
          <w:sz w:val="20"/>
        </w:rPr>
        <w:t xml:space="preserve"> </w:t>
      </w:r>
      <w:r>
        <w:rPr>
          <w:rFonts w:ascii="Times New Roman" w:hAnsi="Times New Roman"/>
          <w:color w:val="000000"/>
          <w:sz w:val="24"/>
          <w:u w:val="single"/>
        </w:rPr>
        <w:t>Seller Form W-9</w:t>
      </w:r>
      <w:r>
        <w:rPr>
          <w:rFonts w:ascii="Times New Roman" w:hAnsi="Times New Roman"/>
          <w:color w:val="000000"/>
          <w:sz w:val="24"/>
        </w:rPr>
        <w:t>. On or prior to the Initial Closing Date, the Seller shall deliver to the Buyer a duly completed and executed IRS Form W-9 certifying that the Seller is exempt from U.S. federal backup withholding tax with respect to any payments under this Agreement. The Seller shall update any such form provided to the Buyer pursuant to the preceding sentence promptly (i) upon reasonable request by the Buyer or (ii) as soon as reasonably practicable after becoming aware that any such form previously provided by the Seller is obsolete, incorrect or ineffective.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3.5</w:t>
      </w:r>
      <w:r>
        <w:rPr>
          <w:rFonts w:ascii="Times New Roman" w:hAnsi="Times New Roman"/>
          <w:color w:val="000000"/>
          <w:sz w:val="20"/>
        </w:rPr>
        <w:t xml:space="preserve"> </w:t>
      </w:r>
      <w:r>
        <w:rPr>
          <w:rFonts w:ascii="Times New Roman" w:hAnsi="Times New Roman"/>
          <w:color w:val="000000"/>
          <w:sz w:val="24"/>
          <w:u w:val="single"/>
        </w:rPr>
        <w:t>Buyer Form W-9</w:t>
      </w:r>
      <w:r>
        <w:rPr>
          <w:rFonts w:ascii="Times New Roman" w:hAnsi="Times New Roman"/>
          <w:color w:val="000000"/>
          <w:sz w:val="24"/>
        </w:rPr>
        <w:t>. On or prior to the Initial Closing Date, the Buyer shall deliver to the Seller a duly completed and executed IRS Form W-9 certifying that the Buyer is exempt from U.S. federal backup withholding tax with respect to any payments under this Agreement. The Buyer shall update any such form provided to the Seller pursuant to the preceding sentence promptly (i) upon reasonable request by the Seller or (ii) as soon as practicable after becoming aware that any such form previously provided by the Buyer is obsolete, incorrect or ineffective.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3.6</w:t>
      </w:r>
      <w:r>
        <w:rPr>
          <w:rFonts w:ascii="Times New Roman" w:hAnsi="Times New Roman"/>
          <w:color w:val="000000"/>
          <w:sz w:val="20"/>
        </w:rPr>
        <w:t xml:space="preserve"> </w:t>
      </w:r>
      <w:r>
        <w:rPr>
          <w:rFonts w:ascii="Times New Roman" w:hAnsi="Times New Roman"/>
          <w:color w:val="000000"/>
          <w:sz w:val="24"/>
          <w:u w:val="single"/>
        </w:rPr>
        <w:t>Legal Opinion</w:t>
      </w:r>
      <w:r>
        <w:rPr>
          <w:rFonts w:ascii="Times New Roman" w:hAnsi="Times New Roman"/>
          <w:color w:val="000000"/>
          <w:sz w:val="24"/>
        </w:rPr>
        <w:t>. On the Initial Closing Date, the Seller shall deliver to the Buyer the legal opinion(s) of Latham &amp; Watkins LLP, as corporate counsel to the Seller in form and substance reasonably acceptable to Seller and Buyer.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3.7</w:t>
      </w:r>
      <w:r>
        <w:rPr>
          <w:rFonts w:ascii="Times New Roman" w:hAnsi="Times New Roman"/>
          <w:color w:val="000000"/>
          <w:sz w:val="20"/>
        </w:rPr>
        <w:t xml:space="preserve"> </w:t>
      </w:r>
      <w:r>
        <w:rPr>
          <w:rFonts w:ascii="Times New Roman" w:hAnsi="Times New Roman"/>
          <w:color w:val="000000"/>
          <w:sz w:val="24"/>
          <w:u w:val="single"/>
        </w:rPr>
        <w:t>Tranche Closings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Tranche 2 Closing</w:t>
      </w:r>
      <w:r>
        <w:rPr>
          <w:rFonts w:ascii="Times New Roman" w:hAnsi="Times New Roman"/>
          <w:color w:val="000000"/>
          <w:sz w:val="24"/>
        </w:rPr>
        <w:t>. The Seller shall promptly notify the Buyer in writing upon the occurrence of the Tranche 2 Trigger and provide reasonable documentation of the same. So long as a Material Breach is not continuing or uncured, then following such notice the Buyer shall promptly (and in any event within [ * * * ] Business Days following such notice) pay to the Seller the Tranche 2 Purchase Price (the “</w:t>
      </w:r>
      <w:r>
        <w:rPr>
          <w:rFonts w:ascii="Times New Roman" w:hAnsi="Times New Roman"/>
          <w:color w:val="000000"/>
          <w:sz w:val="24"/>
          <w:u w:val="single"/>
        </w:rPr>
        <w:t>Tranche 2 Closing</w:t>
      </w:r>
      <w:r>
        <w:rPr>
          <w:rFonts w:ascii="Times New Roman" w:hAnsi="Times New Roman"/>
          <w:color w:val="000000"/>
          <w:sz w:val="20"/>
        </w:rPr>
        <w:t>”</w:t>
      </w:r>
      <w:r>
        <w:rPr>
          <w:rFonts w:ascii="Times New Roman" w:hAnsi="Times New Roman"/>
          <w:color w:val="000000"/>
          <w:sz w:val="24"/>
        </w:rPr>
        <w:t xml:space="preserve">). For the avoidance of doubt, even if the Tranche 2 Trigger has not been met and a Tranche 2 Closing does not occur as a result, the Buyer's right to receive Revenue Payments pursuant to the purchased Initial Revenue Participation </w:t>
      </w:r>
      <w:r>
        <w:rPr>
          <w:rFonts w:ascii="Times New Roman" w:hAnsi="Times New Roman"/>
          <w:color w:val="000000"/>
          <w:sz w:val="24"/>
          <w:u w:val="single"/>
        </w:rPr>
        <w:t>Right as provided in Exhibit E shall remain unaffected.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Tranche 3 Closing</w:t>
      </w:r>
      <w:r>
        <w:rPr>
          <w:rFonts w:ascii="Times New Roman" w:hAnsi="Times New Roman"/>
          <w:color w:val="000000"/>
          <w:sz w:val="24"/>
        </w:rPr>
        <w:t>. The Seller shall promptly notify the Buyer in writing upon the occurrence of the Tranche 3 Trigger and provide reasonable documentation of the same. So long as a Material Breach is not continuing or uncured, then following such notice the Buyer shall promptly (and in any event within [ * * * ] Business Days following such notice) pay to the Seller the Tranche 3 Purchase Price (the “</w:t>
      </w:r>
      <w:r>
        <w:rPr>
          <w:rFonts w:ascii="Times New Roman" w:hAnsi="Times New Roman"/>
          <w:color w:val="000000"/>
          <w:sz w:val="24"/>
          <w:u w:val="single"/>
        </w:rPr>
        <w:t>Tranche 3 Closing</w:t>
      </w:r>
      <w:r>
        <w:rPr>
          <w:rFonts w:ascii="Times New Roman" w:hAnsi="Times New Roman"/>
          <w:color w:val="000000"/>
          <w:sz w:val="20"/>
        </w:rPr>
        <w:t>”</w:t>
      </w:r>
      <w:r>
        <w:rPr>
          <w:rFonts w:ascii="Times New Roman" w:hAnsi="Times New Roman"/>
          <w:color w:val="000000"/>
          <w:sz w:val="24"/>
        </w:rPr>
        <w:t>). For the avoidance of doubt, even if the Tranche 3 Trigger has not been met and a Tranche 3 Closing does not occur as a result, the Buyer's right to receive Revenue Payments pursuant to the purchased Initial Revenue Participation Right as provided in Exhibit E shall remain unaffected.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Tranche 4 Closing</w:t>
      </w:r>
      <w:r>
        <w:rPr>
          <w:rFonts w:ascii="Times New Roman" w:hAnsi="Times New Roman"/>
          <w:color w:val="000000"/>
          <w:sz w:val="24"/>
        </w:rPr>
        <w:t>. The Seller shall promptly, and in any case, within [ * * * ] days, notify the Buyer in writing upon the occurrence of the Tranche 4 Trigger and provide reasonable documentation of the same. So long as a Material Breach is not continuing or uncured, the Seller shall have the option (but not the obligation) to irrevocably elect in such written notice to the Buyer (the “</w:t>
      </w:r>
      <w:r>
        <w:rPr>
          <w:rFonts w:ascii="Times New Roman" w:hAnsi="Times New Roman"/>
          <w:color w:val="000000"/>
          <w:sz w:val="24"/>
          <w:u w:val="single"/>
        </w:rPr>
        <w:t>Tranche 4 Notice</w:t>
      </w:r>
      <w:r>
        <w:rPr>
          <w:rFonts w:ascii="Times New Roman" w:hAnsi="Times New Roman"/>
          <w:color w:val="000000"/>
          <w:sz w:val="20"/>
        </w:rPr>
        <w:t>”</w:t>
      </w:r>
      <w:r>
        <w:rPr>
          <w:rFonts w:ascii="Times New Roman" w:hAnsi="Times New Roman"/>
          <w:color w:val="000000"/>
          <w:sz w:val="24"/>
        </w:rPr>
        <w:t>) to require the Buyer to pay to the Seller a portion of or the entire Tranche 4 Additional Purchase Price, as designated in the Tranche 4 Notice. So long as a Material Breach is not continuing or uncured, and subject to the last sentence of Section 7.10(b), the Buyer shall promptly (and in any event within [ * * * ] Business Days following receipt of the Tranche 4 Notice) pay to the Seller the Tranche 4 Purchase Price (the “</w:t>
      </w:r>
      <w:r>
        <w:rPr>
          <w:rFonts w:ascii="Times New Roman" w:hAnsi="Times New Roman"/>
          <w:color w:val="000000"/>
          <w:sz w:val="24"/>
          <w:u w:val="single"/>
        </w:rPr>
        <w:t>Tranche 4 Closing</w:t>
      </w:r>
      <w:r>
        <w:rPr>
          <w:rFonts w:ascii="Times New Roman" w:hAnsi="Times New Roman"/>
          <w:color w:val="000000"/>
          <w:sz w:val="20"/>
        </w:rPr>
        <w:t>”</w:t>
      </w:r>
      <w:r>
        <w:rPr>
          <w:rFonts w:ascii="Times New Roman" w:hAnsi="Times New Roman"/>
          <w:color w:val="000000"/>
          <w:sz w:val="24"/>
        </w:rPr>
        <w:t>). At the Tranche 4 Closing, the Seller shall sell, transfer, assign and convey to the Buyer, and the Buyer shall purchase, acquire and accept from the Seller, free and clear of all Liens (except for Permitted Liens), all of the Seller’s right, title and interest in and to the Tranche 4 Incremental Revenue Participation Right, and the Seller shall deliver to the Buyer a Bill of Sale duly executed by the Seller evidencing the sale, transfer, assignment and conveyance of the Tranche 4 Incremental Revenue Participation Right. For the avoidance of doubt, even if the Tranche 4 Trigger has not been met and a Tranche 4 Closing does not occur as a result, the Buyer’s right to receive Revenue Payments pursuant to the purchased Initial Revenue Participation Right as provided in this Agreement shall remain unaffected.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ARTICLE 4</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REPRESENTATIONS AND WARRANTIES OF THE SELLER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on the Disclosure Schedule attached hereto, the Seller represents and warrants to the Buyer that as of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 </w:t>
      </w:r>
      <w:r>
        <w:rPr>
          <w:rFonts w:ascii="Times New Roman" w:hAnsi="Times New Roman"/>
          <w:color w:val="000000"/>
          <w:sz w:val="24"/>
          <w:u w:val="single"/>
        </w:rPr>
        <w:t>Existence; Good Standing</w:t>
      </w:r>
      <w:r>
        <w:rPr>
          <w:rFonts w:ascii="Times New Roman" w:hAnsi="Times New Roman"/>
          <w:color w:val="000000"/>
          <w:sz w:val="24"/>
        </w:rPr>
        <w:t>. The Seller is a corporation, duly organized, validly existing and in good standing under the laws of Delaware. The Seller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4.2 </w:t>
      </w:r>
      <w:r>
        <w:rPr>
          <w:rFonts w:ascii="Times New Roman" w:hAnsi="Times New Roman"/>
          <w:color w:val="000000"/>
          <w:sz w:val="24"/>
          <w:u w:val="single"/>
        </w:rPr>
        <w:t>Authorization</w:t>
      </w:r>
      <w:r>
        <w:rPr>
          <w:rFonts w:ascii="Times New Roman" w:hAnsi="Times New Roman"/>
          <w:color w:val="000000"/>
          <w:sz w:val="24"/>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4.3 </w:t>
      </w:r>
      <w:r>
        <w:rPr>
          <w:rFonts w:ascii="Times New Roman" w:hAnsi="Times New Roman"/>
          <w:color w:val="000000"/>
          <w:sz w:val="24"/>
          <w:u w:val="single"/>
        </w:rPr>
        <w:t>Enforceability</w:t>
      </w:r>
      <w:r>
        <w:rPr>
          <w:rFonts w:ascii="Times New Roman" w:hAnsi="Times New Roman"/>
          <w:color w:val="000000"/>
          <w:sz w:val="24"/>
        </w:rPr>
        <w:t>. This Agreement has been duly executed and delivered by the Seller and constitutes the valid and legally binding obligation of the Seller, enforceable against the Seller in accordance with its terms, except as may be limited by applicable Bankruptcy Laws or by general principles of equity (whether considered in a proceeding in equity or at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4.4 </w:t>
      </w:r>
      <w:r>
        <w:rPr>
          <w:rFonts w:ascii="Times New Roman" w:hAnsi="Times New Roman"/>
          <w:color w:val="000000"/>
          <w:sz w:val="24"/>
          <w:u w:val="single"/>
        </w:rPr>
        <w:t>No Conflicts</w:t>
      </w:r>
      <w:r>
        <w:rPr>
          <w:rFonts w:ascii="Times New Roman" w:hAnsi="Times New Roman"/>
          <w:color w:val="000000"/>
          <w:sz w:val="24"/>
        </w:rPr>
        <w:t>. The execution, delivery and performance by the Seller of this Agreement and the consummation of the transactions contemplated hereby do not and will not (a) contravene or conflict with the organizational documents of the Seller, (b) contravene or conflict with or constitute a material default under any material provision of any law binding upon or applicable to the Seller or Maximum Revenue Participation Right or (c) contravene or conflict with or constitute a material default under any material agreement or Judgment binding upon or applicable to the Seller or any of its Affiliates.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4.5 </w:t>
      </w:r>
      <w:r>
        <w:rPr>
          <w:rFonts w:ascii="Times New Roman" w:hAnsi="Times New Roman"/>
          <w:color w:val="000000"/>
          <w:sz w:val="24"/>
          <w:u w:val="single"/>
        </w:rPr>
        <w:t>Consents</w:t>
      </w:r>
      <w:r>
        <w:rPr>
          <w:rFonts w:ascii="Times New Roman" w:hAnsi="Times New Roman"/>
          <w:color w:val="000000"/>
          <w:sz w:val="24"/>
        </w:rPr>
        <w:t>. Except for any filings required by the federal securities laws or stock exchange rules, no consent, approval, license, order, authorization, registration, declaration or filing with or of any Governmental Entity or other Person is required to be done or obtained by the Seller or any of its Affiliates in connection with (a) the execution and delivery by the Seller of this Agreement, (b) the performance by the Seller of its obligations under this Agreement, or (c) the consummation by the Seller of any of the transactions contemplated by this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4.6 </w:t>
      </w:r>
      <w:r>
        <w:rPr>
          <w:rFonts w:ascii="Times New Roman" w:hAnsi="Times New Roman"/>
          <w:color w:val="000000"/>
          <w:sz w:val="24"/>
          <w:u w:val="single"/>
        </w:rPr>
        <w:t>No Litigation</w:t>
      </w:r>
      <w:r>
        <w:rPr>
          <w:rFonts w:ascii="Times New Roman" w:hAnsi="Times New Roman"/>
          <w:color w:val="000000"/>
          <w:sz w:val="24"/>
        </w:rPr>
        <w:t>. Neither the Seller nor any of its Affiliates is a party to, and, since [ * * * ], none has received any written notice of, any action, claim, suit, investigation or proceeding pending before any Governmental Entity and, to the knowledge of the Seller, no such action, claim, suit, investigation or proceeding has been threatened against the Seller or any of its Affiliates since [ * * * ], that, either individually or in the aggregate, has had or would reasonably be expected to have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4.7 </w:t>
      </w:r>
      <w:r>
        <w:rPr>
          <w:rFonts w:ascii="Times New Roman" w:hAnsi="Times New Roman"/>
          <w:color w:val="000000"/>
          <w:sz w:val="24"/>
          <w:u w:val="single"/>
        </w:rPr>
        <w:t>Compliance; Regulatory Interactions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applications, submissions, information and data related to a Product submitted or utilized as the basis for any request to any Regulatory Authority by or on behalf of the Seller or any of its Affiliates were, to the knowledge of the Seller, true and correct in all material respects as of the date of such submission or request, and any material updates, changes, corrections or modification to such applications, submissions, information or data have been submitted to the necessary Regulatory Authorities, except to the extent that failure to make such updates, changes, corrections or modification would not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Seller has made available to the Buyer, prior to the Effective Date, in the Data Room, to the knowledge of the Seller, true, correct and complete copies of all material communications (other than investigational new drug applications for the Products) sent or received since [ * * * ] by the Seller and any of its Affiliates to or from any Regulatory Authorities related to the Exploitation of a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Since [ * * * ], to the knowledge of the Seller, neither the Seller nor any of its Affiliates has committed any act, made any statement or failed to make any statement in respect of a Product that would reasonably be expected to provide a basis for the FDA to invoke its policy with respect to “Fraud, Untrue Statements of Material Facts, Bribery, and Illegal Gratuities”, or any other Regulatory Authority to invoke similar policies, set forth in any applicable laws or regulations.</w:t>
      </w:r>
    </w:p>
    <w:p>
      <w:pPr>
        <w:pStyle w:val="TextBody"/>
        <w:bidi w:val="0"/>
        <w:spacing w:before="0" w:after="240"/>
        <w:jc w:val="both"/>
        <w:rPr>
          <w:rFonts w:ascii="Times New Roman" w:hAnsi="Times New Roman"/>
          <w:sz w:val="20"/>
        </w:rPr>
      </w:pPr>
      <w:r>
        <w:rPr>
          <w:rFonts w:ascii="Times New Roman" w:hAnsi="Times New Roman"/>
          <w:color w:val="000000"/>
          <w:sz w:val="24"/>
        </w:rPr>
        <w:t>(d) Since [ * * * ], (i) there have been no Safety Notices, (ii) to the knowledge of the Seller, there are no unresolved material product complaints with respect to a Product, which would result in a Material Adverse Effect, and (iii) to the knowledge of the Seller, there are no facts currently in existence that would, individually or in the aggregate, reasonably be expected to result in (1) a material Safety Notice with respect to any Product or (2) a material change in the anticipated labeling of a Product.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To the knowledge of the Seller, the Seller and its Affiliates are, and, since [ * * * ], have been, in compliance with all applicable laws administered or issued by the FDA or any similar Regulatory Authority in each country where a Product has been, or is intended to be, Manufactured or Exploited, including the Federal Food, Drug, and Cosmetic Act, the Public Health Service Act, applicable requirements in FDA regulations, and any orders issued by FDA or similar Regulatory Authorities in each country where a Product has been, or is intended to be, Manufactured or Exploited, and all other laws regarding ownership, developing, testing, Manufacturing, disposal, Commercializing, and complaint handling or adverse event reporting for the products of the Seller or its Affiliates, except to the extent that such failure to comply with such applicable laws would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4.8 </w:t>
      </w:r>
      <w:r>
        <w:rPr>
          <w:rFonts w:ascii="Times New Roman" w:hAnsi="Times New Roman"/>
          <w:color w:val="000000"/>
          <w:sz w:val="24"/>
          <w:u w:val="single"/>
        </w:rPr>
        <w:t>Licenses</w:t>
      </w:r>
      <w:r>
        <w:rPr>
          <w:rFonts w:ascii="Times New Roman" w:hAnsi="Times New Roman"/>
          <w:color w:val="000000"/>
          <w:sz w:val="24"/>
        </w:rPr>
        <w:t xml:space="preserve">. Except as set forth on </w:t>
      </w:r>
      <w:r>
        <w:rPr>
          <w:rFonts w:ascii="Times New Roman" w:hAnsi="Times New Roman"/>
          <w:color w:val="000000"/>
          <w:sz w:val="24"/>
          <w:u w:val="single"/>
        </w:rPr>
        <w:t>Schedule 4.8</w:t>
      </w:r>
      <w:r>
        <w:rPr>
          <w:rFonts w:ascii="Times New Roman" w:hAnsi="Times New Roman"/>
          <w:color w:val="000000"/>
          <w:sz w:val="20"/>
        </w:rPr>
        <w:t xml:space="preserve"> </w:t>
      </w:r>
      <w:r>
        <w:rPr>
          <w:rFonts w:ascii="Times New Roman" w:hAnsi="Times New Roman"/>
          <w:color w:val="000000"/>
          <w:sz w:val="24"/>
        </w:rPr>
        <w:t>of the Disclosure Schedule, there are no In-Licenses or Out-Licenses currently in effect.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4.9 </w:t>
      </w:r>
      <w:r>
        <w:rPr>
          <w:rFonts w:ascii="Times New Roman" w:hAnsi="Times New Roman"/>
          <w:color w:val="000000"/>
          <w:sz w:val="24"/>
          <w:u w:val="single"/>
        </w:rPr>
        <w:t>Data</w:t>
      </w:r>
      <w:r>
        <w:rPr>
          <w:rFonts w:ascii="Times New Roman" w:hAnsi="Times New Roman"/>
          <w:color w:val="000000"/>
          <w:sz w:val="24"/>
        </w:rPr>
        <w:t>. The efficacy data disclosed in the Data Room are, to the knowledge of the Seller, true, correct and complete in all material respects.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4.10 </w:t>
      </w:r>
      <w:r>
        <w:rPr>
          <w:rFonts w:ascii="Times New Roman" w:hAnsi="Times New Roman"/>
          <w:color w:val="000000"/>
          <w:sz w:val="24"/>
          <w:u w:val="single"/>
        </w:rPr>
        <w:t>Intellectual Property</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Schedule 4.10(a)</w:t>
      </w:r>
      <w:r>
        <w:rPr>
          <w:rFonts w:ascii="Times New Roman" w:hAnsi="Times New Roman"/>
          <w:color w:val="000000"/>
          <w:sz w:val="20"/>
        </w:rPr>
        <w:t xml:space="preserve"> </w:t>
      </w:r>
      <w:r>
        <w:rPr>
          <w:rFonts w:ascii="Times New Roman" w:hAnsi="Times New Roman"/>
          <w:color w:val="000000"/>
          <w:sz w:val="24"/>
        </w:rPr>
        <w:t>of the Disclosure Schedule lists all of the currently existing Patents included within the Patent Rights (“</w:t>
      </w:r>
      <w:r>
        <w:rPr>
          <w:rFonts w:ascii="Times New Roman" w:hAnsi="Times New Roman"/>
          <w:color w:val="000000"/>
          <w:sz w:val="24"/>
          <w:u w:val="single"/>
        </w:rPr>
        <w:t>Existing Patents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Schedule 4.10(a)</w:t>
      </w:r>
      <w:r>
        <w:rPr>
          <w:rFonts w:ascii="Times New Roman" w:hAnsi="Times New Roman"/>
          <w:color w:val="000000"/>
          <w:sz w:val="20"/>
        </w:rPr>
        <w:t xml:space="preserve"> </w:t>
      </w:r>
      <w:r>
        <w:rPr>
          <w:rFonts w:ascii="Times New Roman" w:hAnsi="Times New Roman"/>
          <w:color w:val="000000"/>
          <w:sz w:val="24"/>
        </w:rPr>
        <w:t xml:space="preserve">of the Disclosure Schedule specifies the respective patent or patent application numbers as to each listed Patent or patent application within the Existing Patents. Except as set forth on </w:t>
      </w:r>
      <w:r>
        <w:rPr>
          <w:rFonts w:ascii="Times New Roman" w:hAnsi="Times New Roman"/>
          <w:color w:val="000000"/>
          <w:sz w:val="24"/>
          <w:u w:val="single"/>
        </w:rPr>
        <w:t>Schedule 4.10(a)</w:t>
      </w:r>
      <w:r>
        <w:rPr>
          <w:rFonts w:ascii="Times New Roman" w:hAnsi="Times New Roman"/>
          <w:color w:val="000000"/>
          <w:sz w:val="20"/>
        </w:rPr>
        <w:t xml:space="preserve"> </w:t>
      </w:r>
      <w:r>
        <w:rPr>
          <w:rFonts w:ascii="Times New Roman" w:hAnsi="Times New Roman"/>
          <w:color w:val="000000"/>
          <w:sz w:val="24"/>
        </w:rPr>
        <w:t xml:space="preserve">of the Disclosure Schedule, the Seller is the sole and exclusive registered owner of all the Existing Patents. </w:t>
      </w:r>
      <w:r>
        <w:rPr>
          <w:rFonts w:ascii="Times New Roman" w:hAnsi="Times New Roman"/>
          <w:color w:val="000000"/>
          <w:sz w:val="24"/>
          <w:u w:val="single"/>
        </w:rPr>
        <w:t>Schedule 4.10(a)</w:t>
      </w:r>
      <w:r>
        <w:rPr>
          <w:rFonts w:ascii="Times New Roman" w:hAnsi="Times New Roman"/>
          <w:color w:val="000000"/>
          <w:sz w:val="20"/>
        </w:rPr>
        <w:t xml:space="preserve"> </w:t>
      </w:r>
      <w:r>
        <w:rPr>
          <w:rFonts w:ascii="Times New Roman" w:hAnsi="Times New Roman"/>
          <w:color w:val="000000"/>
          <w:sz w:val="24"/>
        </w:rPr>
        <w:t>of the Disclosure Schedule specifies any Person other than the Seller owning or having an interest in any Existing Patent, including the nature of such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None of the Seller nor any of its Affiliates is a party to any pending, and, to the knowledge of the Seller, there is no threatened litigation, interference, reexamination, post-grant proceeding, opposition or like procedure involving any of the Existing Patents or other existing Intellectual Property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of the issued Patents within the Existing Patents are in full force and effect, and have not lapsed, expired or otherwise terminated and, to the knowledge of the Seller, are valid and enforceable. None of the Seller nor any of its Affiliates has received any written notice relating to the lapse, expiration or other termination of any of the issued Patents within the Existing Patents. None of the Seller nor any of its Affiliates has received any written notice or written legal opinion from a Third Party that alleges that any of the Existing Patents or other existing Intellectual Property Rights is invalid or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None of the Seller nor any of its Affiliates has received any written notice that there is any, and, to the knowledge of the Seller, there is no, Person who is or claims to be an inventor under any Existing Patent who is not a named inventor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Seller or its Affiliate has paid all maintenance fees, annuities and like payments required with respect to all of the Existing Patents, thereof, except as would not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To the knowledge of the Seller, (i) the Manufacture or Exploitation of a Product has not infringed misappropriated or otherwise violated, and will not infringe, misappropriate or otherwise violate, any issued Patent or other intellectual property rights of any Third Party (without reference to any safe harbor), and (ii) no Person is infringing, misappropriating or otherwise violating, or threatening to infringe, misappropriate or otherwise violate, any Existing Patents or other existing Intellectual Property Rights, in each case ((i) and (ii)) that would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4.11 </w:t>
      </w:r>
      <w:r>
        <w:rPr>
          <w:rFonts w:ascii="Times New Roman" w:hAnsi="Times New Roman"/>
          <w:color w:val="000000"/>
          <w:sz w:val="24"/>
          <w:u w:val="single"/>
        </w:rPr>
        <w:t>Title to Revenue Participation Right; No Liens</w:t>
      </w:r>
      <w:r>
        <w:rPr>
          <w:rFonts w:ascii="Times New Roman" w:hAnsi="Times New Roman"/>
          <w:color w:val="000000"/>
          <w:sz w:val="24"/>
        </w:rPr>
        <w:t>. There are no Liens (other than Permitted Liens) as of the Effective Date on the APG777 Product Rights. The Seller holds all rights, interests, and title necessary to sell, transfer, assign and convey the Maximum Revenue Participation Right to the Buyer. From and after the Effective Date, the Buyer will have acquired, subject to the terms and conditions set forth in this Agreement, good and marketable title to the Initial Revenue Participation Right and the corresponding Revenue Payments, in each case free and clear of all Liens (other than the Back-Up Security Interest and any other Permitted Liens). From and after the Tranche 4 Closing, the Buyer will have acquired, subject to the terms and conditions set forth in this Agreement, good and marketable title to the Tranche 4 Incremental Revenue Participation Right and the corresponding Revenue Payments, in each case free and clear of all Liens (other than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Back-Up Security Interest, and any other Permitted Lien ). At all times prior to the Lien Termination Date, none of the property or assets of the Seller or any of its Affiliates is subject to, or encumbered by, any Lien, other than the Maximum Revenue Participation Right and the Revenue Payments, which are covered by the immediately preceding sentence, or any other Permitted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4.12 </w:t>
      </w:r>
      <w:r>
        <w:rPr>
          <w:rFonts w:ascii="Times New Roman" w:hAnsi="Times New Roman"/>
          <w:color w:val="000000"/>
          <w:sz w:val="24"/>
          <w:u w:val="single"/>
        </w:rPr>
        <w:t>Indebtedness</w:t>
      </w:r>
      <w:r>
        <w:rPr>
          <w:rFonts w:ascii="Times New Roman" w:hAnsi="Times New Roman"/>
          <w:color w:val="000000"/>
          <w:sz w:val="24"/>
        </w:rPr>
        <w:t xml:space="preserve">. </w:t>
      </w:r>
      <w:r>
        <w:rPr>
          <w:rFonts w:ascii="Times New Roman" w:hAnsi="Times New Roman"/>
          <w:color w:val="000000"/>
          <w:sz w:val="24"/>
          <w:u w:val="single"/>
        </w:rPr>
        <w:t>Schedule 4.12</w:t>
      </w:r>
      <w:r>
        <w:rPr>
          <w:rFonts w:ascii="Times New Roman" w:hAnsi="Times New Roman"/>
          <w:color w:val="000000"/>
          <w:sz w:val="20"/>
        </w:rPr>
        <w:t xml:space="preserve"> </w:t>
      </w:r>
      <w:r>
        <w:rPr>
          <w:rFonts w:ascii="Times New Roman" w:hAnsi="Times New Roman"/>
          <w:color w:val="000000"/>
          <w:sz w:val="24"/>
        </w:rPr>
        <w:t>of the Disclosure Schedule sets forth a complete list of the outstanding Indebtedness of, or incurred by, the Seller and its Affiliates.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4.13 </w:t>
      </w:r>
      <w:r>
        <w:rPr>
          <w:rFonts w:ascii="Times New Roman" w:hAnsi="Times New Roman"/>
          <w:color w:val="000000"/>
          <w:sz w:val="24"/>
          <w:u w:val="single"/>
        </w:rPr>
        <w:t>Lien Related Representation and Warranties</w:t>
      </w:r>
      <w:r>
        <w:rPr>
          <w:rFonts w:ascii="Times New Roman" w:hAnsi="Times New Roman"/>
          <w:color w:val="000000"/>
          <w:sz w:val="24"/>
        </w:rPr>
        <w:t>. The Seller’s exact legal name (as defined in Section 9-503 of the UCC) is, and for the immediately preceding five (5) years (or such shorter period since its initial public offering) has been, “Apogee Therapeutics, Inc.” The Seller is, and for the immediately preceding five (5) years (or such shorter period since its initial public offering) has been, a corporation and incorporated in Delaware. The Seller’s principal office is (and for the immediately preceding five (5) years (or such shorter period since its initial public offering) has been) located at 221 Crescent Street, Building 17, Suite 102b, Waltham, MA 02453. The Seller does not own any real property.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4.14 </w:t>
      </w:r>
      <w:r>
        <w:rPr>
          <w:rFonts w:ascii="Times New Roman" w:hAnsi="Times New Roman"/>
          <w:color w:val="000000"/>
          <w:sz w:val="24"/>
          <w:u w:val="single"/>
        </w:rPr>
        <w:t>Brokers’ Fees</w:t>
      </w:r>
      <w:r>
        <w:rPr>
          <w:rFonts w:ascii="Times New Roman" w:hAnsi="Times New Roman"/>
          <w:color w:val="000000"/>
          <w:sz w:val="24"/>
        </w:rPr>
        <w:t>. There is no investment banker, broker, finder, financial advisor or other intermediary who has been retained by or is authorized to act on behalf of the Seller or any of its Affiliate who might be entitled to any fee or commission from the Buyer in connection with the transactions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4.15 </w:t>
      </w:r>
      <w:r>
        <w:rPr>
          <w:rFonts w:ascii="Times New Roman" w:hAnsi="Times New Roman"/>
          <w:color w:val="000000"/>
          <w:sz w:val="24"/>
          <w:u w:val="single"/>
        </w:rPr>
        <w:t>Foreign Corrupt Practices Act</w:t>
      </w:r>
      <w:r>
        <w:rPr>
          <w:rFonts w:ascii="Times New Roman" w:hAnsi="Times New Roman"/>
          <w:color w:val="000000"/>
          <w:sz w:val="24"/>
        </w:rPr>
        <w:t>. None of the Seller or its Affiliates nor, to the knowledge of Seller, any of its or their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hAnsi="Times New Roman"/>
          <w:color w:val="000000"/>
          <w:sz w:val="24"/>
          <w:u w:val="single"/>
        </w:rPr>
        <w:t>FCPA</w:t>
      </w:r>
      <w:r>
        <w:rPr>
          <w:rFonts w:ascii="Times New Roman" w:hAnsi="Times New Roman"/>
          <w:color w:val="000000"/>
          <w:sz w:val="20"/>
        </w:rPr>
        <w:t>”</w:t>
      </w:r>
      <w:r>
        <w:rPr>
          <w:rFonts w:ascii="Times New Roman" w:hAnsi="Times New Roman"/>
          <w:color w:val="000000"/>
          <w:sz w:val="24"/>
        </w:rPr>
        <w:t>)), foreign political party or official thereof or candidate for foreign political office for the purpose of (a) influencing any official act or decision of such official, party or candidate, (b) inducing such official, party or candidate to use his, her or its influence to affect any act or decision of a foreign governmental authority, or (c) securing any improper advantage, in the case of (a), (b) and (c) above in order to assist the Seller or any of its Affiliates in obtaining or retaining business for or with, or directing business to, any person. None of the Seller or any of its Affiliates nor, to the knowledge of Seller, any of its or their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Affiliates to maintain, systems of internal controls (including, but not limited to, accounting systems, purchasing systems and billing systems) and written policies designed to ensure compliance with the FCPA or any other applicable anti-bribery or anti-corruption law. To the knowledge of the Seller, neither the Seller nor any of its Affiliates or its or their officers, directors or employees are the subject of any allegation, voluntary disclosure, investigation, prosecution or other enforcement action related to the FCPA or any other anti-corruption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4.16 </w:t>
      </w:r>
      <w:r>
        <w:rPr>
          <w:rFonts w:ascii="Times New Roman" w:hAnsi="Times New Roman"/>
          <w:color w:val="000000"/>
          <w:sz w:val="24"/>
          <w:u w:val="single"/>
        </w:rPr>
        <w:t>Data Provided</w:t>
      </w:r>
      <w:r>
        <w:rPr>
          <w:rFonts w:ascii="Times New Roman" w:hAnsi="Times New Roman"/>
          <w:color w:val="000000"/>
          <w:sz w:val="24"/>
        </w:rPr>
        <w:t>. All written information made available for purposes of this Agreement as of the Effective Date, by or on behalf of Seller to the Buyer, with regard to APG777 or the Exploitation thereof as contemplated by this Agreement was (when provided) and is (as of the Effective Date), to the knowledge of Seller, true, accurate and complete in all material respects. As of the Effective Date, Seller has not failed to disclose to the Buyer any information in the Seller’s or any of any Affiliate’s control or possession that to its knowledge would be reasonably necessary to make any information that has been made available by or on behalf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of Seller to the Buyer prior to the Effective Date with respect to APG777 or the Exploitation thereof as contemplated by this Agreement in the light of the circumstances under which they were made not misleading in any material respect;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with respect to financial projections, estimates, budgets or other forward-looking information, the Seller represents only that such information was prepared in good faith based upon assumptions believed by the Seller to be reasonable at the time such information was delivered to the Buyer (it being understood that such information is as to future events and is not to be viewed as facts, is subject to significant uncertainties and contingencies, many of which are beyond the control of the Seller and its Affiliates, that no assurance can be given that any particular projection, estimate, budget or forecast will be realized and that actual results during the period or periods covered by any such projections, estimate, budgets or forecasts may differ significantly from the projected results and such differences may be material). A complete index of all documents in the Data Room as of the Effective Date is attached hereto as </w:t>
      </w:r>
      <w:r>
        <w:rPr>
          <w:rFonts w:ascii="Times New Roman" w:hAnsi="Times New Roman"/>
          <w:color w:val="000000"/>
          <w:sz w:val="24"/>
          <w:u w:val="single"/>
        </w:rPr>
        <w:t>Exhibit H</w:t>
      </w:r>
      <w:r>
        <w:rPr>
          <w:rFonts w:ascii="Times New Roman" w:hAnsi="Times New Roman"/>
          <w:color w:val="000000"/>
          <w:sz w:val="24"/>
        </w:rPr>
        <w:t>.</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ARTICLE 5</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REPRESENTATIONS AND WARRANTIES OF THE BUYER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Buyer hereby represents and warrants to the Seller that as of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5.1 </w:t>
      </w:r>
      <w:r>
        <w:rPr>
          <w:rFonts w:ascii="Times New Roman" w:hAnsi="Times New Roman"/>
          <w:color w:val="000000"/>
          <w:sz w:val="24"/>
          <w:u w:val="single"/>
        </w:rPr>
        <w:t>Existence; Good Standing</w:t>
      </w:r>
      <w:r>
        <w:rPr>
          <w:rFonts w:ascii="Times New Roman" w:hAnsi="Times New Roman"/>
          <w:color w:val="000000"/>
          <w:sz w:val="24"/>
        </w:rPr>
        <w:t>. The Buyer is a limited partnership duly organized, validly existing and in good standing under the laws of Delaware. The Buyer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 on the Buyer.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5.2 </w:t>
      </w:r>
      <w:r>
        <w:rPr>
          <w:rFonts w:ascii="Times New Roman" w:hAnsi="Times New Roman"/>
          <w:color w:val="000000"/>
          <w:sz w:val="24"/>
          <w:u w:val="single"/>
        </w:rPr>
        <w:t>Authorization</w:t>
      </w:r>
      <w:r>
        <w:rPr>
          <w:rFonts w:ascii="Times New Roman" w:hAnsi="Times New Roman"/>
          <w:color w:val="000000"/>
          <w:sz w:val="24"/>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5.3 </w:t>
      </w:r>
      <w:r>
        <w:rPr>
          <w:rFonts w:ascii="Times New Roman" w:hAnsi="Times New Roman"/>
          <w:color w:val="000000"/>
          <w:sz w:val="24"/>
          <w:u w:val="single"/>
        </w:rPr>
        <w:t>Enforceability</w:t>
      </w:r>
      <w:r>
        <w:rPr>
          <w:rFonts w:ascii="Times New Roman" w:hAnsi="Times New Roman"/>
          <w:color w:val="000000"/>
          <w:sz w:val="24"/>
        </w:rPr>
        <w:t>.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5.4 </w:t>
      </w:r>
      <w:r>
        <w:rPr>
          <w:rFonts w:ascii="Times New Roman" w:hAnsi="Times New Roman"/>
          <w:color w:val="000000"/>
          <w:sz w:val="24"/>
          <w:u w:val="single"/>
        </w:rPr>
        <w:t>No Conflicts</w:t>
      </w:r>
      <w:r>
        <w:rPr>
          <w:rFonts w:ascii="Times New Roman" w:hAnsi="Times New Roman"/>
          <w:color w:val="000000"/>
          <w:sz w:val="24"/>
        </w:rPr>
        <w:t>. The execution, delivery and performance by the Buyer of this Agreement and the consummation of the transactions contemplated hereby do not and will not (a) contravene or conflict with the organizational documents of the Buyer, (b) contravene or conflict with or constitute a material default under any material provision of any law binding upon or applicable to the Buyer or (c) contravene or conflict with or constitute a material default under any material agreement or Judgment binding upon or applicable to the Buyer.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5.5 </w:t>
      </w:r>
      <w:r>
        <w:rPr>
          <w:rFonts w:ascii="Times New Roman" w:hAnsi="Times New Roman"/>
          <w:color w:val="000000"/>
          <w:sz w:val="24"/>
          <w:u w:val="single"/>
        </w:rPr>
        <w:t>Consents</w:t>
      </w:r>
      <w:r>
        <w:rPr>
          <w:rFonts w:ascii="Times New Roman" w:hAnsi="Times New Roman"/>
          <w:color w:val="000000"/>
          <w:sz w:val="24"/>
        </w:rPr>
        <w:t>. Except for the filing of financial statement(s) in accordance with Section 2.3 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(a) the execution and delivery by the Buyer of this Agreement, (b) the performance by the Buyer of its obligations under this Agreement or (c) the consummation by the Buyer of any of the transactions contemplated by this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5.6 </w:t>
      </w:r>
      <w:r>
        <w:rPr>
          <w:rFonts w:ascii="Times New Roman" w:hAnsi="Times New Roman"/>
          <w:color w:val="000000"/>
          <w:sz w:val="24"/>
          <w:u w:val="single"/>
        </w:rPr>
        <w:t>No Litigation</w:t>
      </w:r>
      <w:r>
        <w:rPr>
          <w:rFonts w:ascii="Times New Roman" w:hAnsi="Times New Roman"/>
          <w:color w:val="000000"/>
          <w:sz w:val="24"/>
        </w:rPr>
        <w:t>. There is no action, claim, suit, investigation or proceeding pending or, to the knowledge of the Buyer, threatened before any Governmental Entity to which the Buyer is a party that would reasonably be expected to prevent or materially and adversely affect the ability of the Buyer to perform its obligations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5.7 </w:t>
      </w:r>
      <w:r>
        <w:rPr>
          <w:rFonts w:ascii="Times New Roman" w:hAnsi="Times New Roman"/>
          <w:color w:val="000000"/>
          <w:sz w:val="24"/>
          <w:u w:val="single"/>
        </w:rPr>
        <w:t>Financing</w:t>
      </w:r>
      <w:r>
        <w:rPr>
          <w:rFonts w:ascii="Times New Roman" w:hAnsi="Times New Roman"/>
          <w:color w:val="000000"/>
          <w:sz w:val="24"/>
        </w:rPr>
        <w:t>. The Buyer has sufficient cash, or access to sufficient immediately available cash under committed credit facilities, to pay the Upfront Purchase Price on the Initial Closing Date and will have sufficient cash, or access to sufficient immediately available cash under committed credit facilities, to pay the applicable Tranche Payment at the applicable Tranche Closing. The Buyer acknowledges that its obligations under this Agreement are not contingent on obtaining financing.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5.8 </w:t>
      </w:r>
      <w:r>
        <w:rPr>
          <w:rFonts w:ascii="Times New Roman" w:hAnsi="Times New Roman"/>
          <w:color w:val="000000"/>
          <w:sz w:val="24"/>
          <w:u w:val="single"/>
        </w:rPr>
        <w:t>Brokers’ Fees</w:t>
      </w:r>
      <w:r>
        <w:rPr>
          <w:rFonts w:ascii="Times New Roman" w:hAnsi="Times New Roman"/>
          <w:color w:val="000000"/>
          <w:sz w:val="24"/>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ARTICLE 6</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NO OTHER 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FOR THE EXPRESS WARRANTIES SET FORTH IN ANY TRANSACTION DOCUMENT AND ANY DOCUMENTS OR INSTRUMENTS DELIVERED THEREUNDER, NONE OF THE PARTIES HERETO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ARTICLE 7</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COVENANTS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7.1 </w:t>
      </w:r>
      <w:r>
        <w:rPr>
          <w:rFonts w:ascii="Times New Roman" w:hAnsi="Times New Roman"/>
          <w:color w:val="000000"/>
          <w:sz w:val="24"/>
          <w:u w:val="single"/>
        </w:rPr>
        <w:t>Seller Diligence Requirements; Conduct of APG777 Phase 2 Part B Clinical Trial and the APG777 Phase 3 Clinical Trials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Seller shall, directly or indirectly through its Affiliates or any Licensees: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complete [***], Seller shall use Commercially Reasonable Efforts to satisfy such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use Commercially Reasonable Efforts to [***], and (y) (1) obtain [***] and (2) conduct [***], Seller shall use Commercially Reasonable Efforts to satisfy such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 (x) [***], and (y) use Commercially Reasonable Efforts to obtain such Marketing Approval [***];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Marketing Approval is obtained for a Product from the FDA, use Commercially Reasonable Efforts to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7.2 </w:t>
      </w:r>
      <w:r>
        <w:rPr>
          <w:rFonts w:ascii="Times New Roman" w:hAnsi="Times New Roman"/>
          <w:color w:val="000000"/>
          <w:sz w:val="24"/>
          <w:u w:val="single"/>
        </w:rPr>
        <w:t>Advisory Committee; Reporting</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From and after the Effective Date and prior to the [ * * * ] of the First Commercial Sale, the Seller will make itself available to the Buyer promptly following [ * * * ], but in any event no later than [ * * * ], an opportunity for a conference call with members of management of the Seller to occur at a reasonable time during normal business hours, and with reasonable prior notice (each, a “</w:t>
      </w:r>
      <w:r>
        <w:rPr>
          <w:rFonts w:ascii="Times New Roman" w:hAnsi="Times New Roman"/>
          <w:color w:val="000000"/>
          <w:sz w:val="24"/>
          <w:u w:val="single"/>
        </w:rPr>
        <w:t>Quarterly Advisory Meeting</w:t>
      </w:r>
      <w:r>
        <w:rPr>
          <w:rFonts w:ascii="Times New Roman" w:hAnsi="Times New Roman"/>
          <w:color w:val="000000"/>
          <w:sz w:val="20"/>
        </w:rPr>
        <w:t>”</w:t>
      </w:r>
      <w:r>
        <w:rPr>
          <w:rFonts w:ascii="Times New Roman" w:hAnsi="Times New Roman"/>
          <w:color w:val="000000"/>
          <w:sz w:val="24"/>
        </w:rPr>
        <w:t>) and, [ * * * ] (each, a “</w:t>
      </w:r>
      <w:r>
        <w:rPr>
          <w:rFonts w:ascii="Times New Roman" w:hAnsi="Times New Roman"/>
          <w:color w:val="000000"/>
          <w:sz w:val="24"/>
          <w:u w:val="single"/>
        </w:rPr>
        <w:t>Post FCS Advisory Meeting</w:t>
      </w:r>
      <w:r>
        <w:rPr>
          <w:rFonts w:ascii="Times New Roman" w:hAnsi="Times New Roman"/>
          <w:color w:val="000000"/>
          <w:sz w:val="20"/>
        </w:rPr>
        <w:t>”</w:t>
      </w:r>
      <w:r>
        <w:rPr>
          <w:rFonts w:ascii="Times New Roman" w:hAnsi="Times New Roman"/>
          <w:color w:val="000000"/>
          <w:sz w:val="24"/>
        </w:rPr>
        <w:t>). In the case of (i) the Quarterly Advisory Meeting, the Seller shall provide updates with respect to such previous Calendar Quarter to the Buyer regarding [ * * *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addition to the information provided in the Quarterly Advisory Meetings and Post FCS Advisory Meetings, no less than [ * * * ] calendar days prior to either such meeting, the Seller shall provide the Buyer with a written report including: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each Specified Clinical Trial: [ * * *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draft of any press release or other public disclosure containing [ * *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 (and in any event within [ * * * ] Business Days) written notice of any Safety Notices or occurrence (or expected occurrence) of [ * *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additional information [ * *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material legal action brought by or against Seller in, or materially and adversely affecting, any of the Major Markets with respect to any APG777 Product Right or Product;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requested by the Buyer following the end of a Calendar Quarter, [ * * * ]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 * * ].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7.3 </w:t>
      </w:r>
      <w:r>
        <w:rPr>
          <w:rFonts w:ascii="Times New Roman" w:hAnsi="Times New Roman"/>
          <w:color w:val="000000"/>
          <w:sz w:val="24"/>
          <w:u w:val="single"/>
        </w:rPr>
        <w:t>Revenue Payments; Revenue Payment Details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Subject to Section 7.10(a), for each Calendar Quarter occurring (in whole or in part) during the Revenue Payment Term, the Seller shall pay to the Buyer the Revenue Payment for each such Calendar Quarter promptly, but in any event no later than [ * * * ] calendar days after the end of each such Calendar Quarter.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Provided that the Buyer has complied with its obligations under Section 3.5 of this Agreement (and, if applicable, any assignee has provided Seller with a valid and properly executed IRS Form W-9 or applicable IRS Form W-8 confirming that no withholding is required for U.S. federal income tax purposes and otherwise complied with Section 3.5), the Seller shall make all payments required to be made by it to the Buyer pursuant to this Agreement in U.S. dollars by wire transfer of immediately available funds, without set-off, reduction or deduction, or withholding for or on account of any U.S. federal withholding Taxes, to the bank account designated in writing from time to time by the Buyer. The Seller and the Buyer shall use commercially reasonable efforts to cooperate to eliminate or reduce any withholding Taxes applicable to any payments under this Agreement; provided that, notwithstanding anything to the contrary, each of the Seller and the Buyer shall be entitled to deduct or withhold from any amount payable under this Agreement any amounts required to be deducted or withheld under applicable law, and (subject to the last sentence of Section 7.3(c)) any such amount so withheld and deducted shall be treated for all purposes of this Agreement as paid to the Buyer or the Seller, as applicable.</w:t>
      </w:r>
    </w:p>
    <w:p>
      <w:pPr>
        <w:pStyle w:val="TextBody"/>
        <w:bidi w:val="0"/>
        <w:spacing w:before="0" w:after="240"/>
        <w:jc w:val="both"/>
        <w:rPr>
          <w:rFonts w:ascii="Times New Roman" w:hAnsi="Times New Roman"/>
          <w:sz w:val="20"/>
        </w:rPr>
      </w:pPr>
      <w:bookmarkStart w:id="25" w:name="article_4___covenants"/>
      <w:bookmarkEnd w:id="25"/>
      <w:r>
        <w:rPr>
          <w:rFonts w:ascii="Times New Roman" w:hAnsi="Times New Roman"/>
          <w:color w:val="000000"/>
          <w:sz w:val="24"/>
        </w:rPr>
        <w:t xml:space="preserve">(c) If, as a result of a Withholding Action by a Party making a payment under this Agreement (the “Paying Party”) (including any assignee or successor), a deduction or withholding is required by applicable law and the amount of such deduction or withholding exceeds the amount of deduction or withholding that would have been required if the Paying Party had not taken the Withholding Action, then the Paying Party shall pay an additional amount to the Party receiving such payment (the “Recipient Party”) such that, after withholding from the payment contemplated by this Agreement and such additional amount, the Recipient Party receives the same amount as it would have received from the Paying Party absent the Paying Party’s Withholding Action. In addition, if, as a result of a Withholding Action by a Recipient Party, the amount of deduction or withholding under applicable law exceeds </w:t>
      </w:r>
      <w:bookmarkStart w:id="26" w:name="x_1_1_subject_to_the_rights_and_obligati"/>
      <w:bookmarkStart w:id="27" w:name="x_1_intellectual_property"/>
      <w:bookmarkStart w:id="28" w:name="x_4_4_the_parties_will_cooperate_and_pro"/>
      <w:bookmarkEnd w:id="26"/>
      <w:bookmarkEnd w:id="27"/>
      <w:bookmarkEnd w:id="28"/>
      <w:r>
        <w:rPr>
          <w:rFonts w:ascii="Times New Roman" w:hAnsi="Times New Roman"/>
          <w:color w:val="000000"/>
          <w:sz w:val="24"/>
        </w:rPr>
        <w:t>the amount of deduction or withholding that would have been required in the absence of the Recipient Party’s Withholding Action, the Paying Party shall not be required to pay any amount under the preceding sentence in excess of the additional amount so payable had the Recipient Party not taken such Withholding Action. Notwithstanding anything to the contrary in this Agreement, for purposes of Section 3.2, Section 3.7, Section 7.10, and Section 7.14, the definitions of “CoC [ * * * ] Payment,” “CoC Required Payment” and “Tranche 4 Cap Date”, and any other applicable purpose, (A) any amount required to be deducted or withheld under applicable law with respect to an amount payable to the Recipient Party under this Agreement shall not be treated as paid to the Recipient Party to the extent an additional amount is required to be paid to the Recipient Party with respect to such deduction or withholding under this Section 7.3(c), and (B) such additional amount paid to the Recipient Party under this Section 7.3(c) (net of any applicable deduction or withholding with respect thereto) shall be treated as paid to the Recipient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For each Calendar Quarter occurring (in whole or in part) during the Revenue Payment Term, the Seller shall provide the Buyer promptly following the end of such Calendar Quarter, but in any event no later than [ * * * ] calendar days after the end of such Calendar Quarter, a report (a “</w:t>
      </w:r>
      <w:r>
        <w:rPr>
          <w:rFonts w:ascii="Times New Roman" w:hAnsi="Times New Roman"/>
          <w:color w:val="000000"/>
          <w:sz w:val="24"/>
          <w:u w:val="single"/>
        </w:rPr>
        <w:t>Revenue Report</w:t>
      </w:r>
      <w:r>
        <w:rPr>
          <w:rFonts w:ascii="Times New Roman" w:hAnsi="Times New Roman"/>
          <w:color w:val="000000"/>
          <w:sz w:val="20"/>
        </w:rPr>
        <w:t>”</w:t>
      </w:r>
      <w:r>
        <w:rPr>
          <w:rFonts w:ascii="Times New Roman" w:hAnsi="Times New Roman"/>
          <w:color w:val="000000"/>
          <w:sz w:val="24"/>
        </w:rPr>
        <w:t>) setting forth in reasonable detail [ * * * ]: (i) Gross Sales and Net Sales for such Calendar Quarter and Calendar Year to date (including a detailed break-down of all permitted deductions from Gross Sales used to determine Net Sales and any Net Sales described in Section 7.5(d)), and (ii) the calculation of the Revenue Payment payable to the Buyer for the applicable Calendar Quarter, identifying [ * * *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7.4 </w:t>
      </w:r>
      <w:r>
        <w:rPr>
          <w:rFonts w:ascii="Times New Roman" w:hAnsi="Times New Roman"/>
          <w:color w:val="000000"/>
          <w:sz w:val="24"/>
          <w:u w:val="single"/>
        </w:rPr>
        <w:t>Inspections and Audits of the Seller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Upon reasonable prior written notice and during normal business hours, the Buyer may cause an inspection or audit, by an independent public accounting firm reasonably acceptable to the Seller and subject to a confidentiality agreement between the Seller and such public accounting firm reasonably acceptable to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Seller, the Buyer and such independent public accounting firm, of the Seller’s and its Affiliates’ books of account, for the sole purpose of determining the correctness of the Revenue Payments made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such inspection or audit shall be permitted with respect to the Revenue Payments no more frequently than [ * * * ] for the Seller’s and its Affiliates’ books of account for any period commencing no earlier than [ * * * ]. In connection with any such inspection or audit, upon the Buyer’s request, the Seller and its Affiliates shall exercise any rights it may have under any Out-License to cause an inspection or audit by an independent public accounting firm to be made of the books of account of the applicable Licensee for the purpose of determining the correctness of the Revenue Payments made under this Agreement.</w:t>
      </w:r>
    </w:p>
    <w:p>
      <w:pPr>
        <w:pStyle w:val="TextBody"/>
        <w:bidi w:val="0"/>
        <w:spacing w:before="0" w:after="240"/>
        <w:jc w:val="both"/>
        <w:rPr>
          <w:rFonts w:ascii="Times New Roman" w:hAnsi="Times New Roman"/>
          <w:sz w:val="20"/>
        </w:rPr>
      </w:pPr>
      <w:bookmarkStart w:id="29" w:name="docxtextref11"/>
      <w:bookmarkEnd w:id="29"/>
      <w:r>
        <w:rPr>
          <w:rFonts w:ascii="Times New Roman" w:hAnsi="Times New Roman"/>
          <w:color w:val="000000"/>
          <w:sz w:val="24"/>
        </w:rPr>
        <w:t>(c) All of the expenses of any inspection or audit requested by the Buyer hereunder (including the fees and expenses of such independent public accounting firm designated for such purpose) shall be borne by (i)</w:t>
      </w:r>
      <w:r>
        <w:rPr>
          <w:rFonts w:ascii="Times New Roman" w:hAnsi="Times New Roman"/>
          <w:color w:val="000000"/>
          <w:sz w:val="20"/>
        </w:rPr>
        <w:t xml:space="preserve"> </w:t>
      </w:r>
      <w:r>
        <w:rPr>
          <w:rFonts w:ascii="Times New Roman" w:hAnsi="Times New Roman"/>
          <w:color w:val="000000"/>
          <w:sz w:val="24"/>
        </w:rPr>
        <w:t>the Buyer, if the independent public accounting firm determines that the Revenue Payments previously paid were incorrect by an amount less than or equal to [ * * * ] of the Revenue Payments actually paid or (ii) the Seller, if the independent public accounting firm determines that the Revenue Payments previously paid were incorrect by an amount greater than [ * * * ] of the Revenue Payments actually paid. Any such independent public accounting firm shall not disclose to the Buyer the confidential information of the Seller or any of its Affiliates or their respective Licensees except to the extent such disclosure is either necessary to determine the correctness of a Revenue Payment or otherwise would be included in a Quarterly Advisory Meeting, any of the deliverables pursuant to Section 7.2(b) or a Revenue Report. All information obtained by the Buyer as a result of any such inspection or audit shall be Confidential Information of the Seller subject to ARTICLE 9.</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Notwithstanding the foregoing, in the event Seller disputes any of the inspection or audit results of Section 7.4(a), the parties shall work in good faith to resolve the dispute. If the parties are unable to reach a mutually acceptable resolution of any such dispute within [ * * * ] days, the dispute shall be submitted for resolution to an independent certified public accounting firm jointly selected by [ * * * ] (the “</w:t>
      </w:r>
      <w:r>
        <w:rPr>
          <w:rFonts w:ascii="Times New Roman" w:hAnsi="Times New Roman"/>
          <w:color w:val="000000"/>
          <w:sz w:val="24"/>
          <w:u w:val="single"/>
        </w:rPr>
        <w:t>Audit Arbitrator</w:t>
      </w:r>
      <w:r>
        <w:rPr>
          <w:rFonts w:ascii="Times New Roman" w:hAnsi="Times New Roman"/>
          <w:color w:val="000000"/>
          <w:sz w:val="20"/>
        </w:rPr>
        <w:t>”</w:t>
      </w:r>
      <w:r>
        <w:rPr>
          <w:rFonts w:ascii="Times New Roman" w:hAnsi="Times New Roman"/>
          <w:color w:val="000000"/>
          <w:sz w:val="24"/>
        </w:rPr>
        <w:t>). The decision of Audit Arbitrator shall be final, and the costs of such arbitration as well as the initial audit shall be borne between the parties consistent with Section 7.4(c). Not later than [ * * * ] days after such decision and in accordance with such decision, the audited party shall pay the additional amounts, with interest from the date originally due in accordance with Section 7.12, or the auditing party shall reimburse the excess payments,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7.5 </w:t>
      </w:r>
      <w:r>
        <w:rPr>
          <w:rFonts w:ascii="Times New Roman" w:hAnsi="Times New Roman"/>
          <w:color w:val="000000"/>
          <w:sz w:val="24"/>
          <w:u w:val="single"/>
        </w:rPr>
        <w:t>Intellectual Property Matters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Infringement Notice</w:t>
      </w:r>
      <w:r>
        <w:rPr>
          <w:rFonts w:ascii="Times New Roman" w:hAnsi="Times New Roman"/>
          <w:color w:val="000000"/>
          <w:sz w:val="24"/>
        </w:rPr>
        <w:t>. The Seller shall provide to the Buyer a copy of any written notice received by any Related Party or Manufacturer from a Third Party alleging or claiming that the Exploitation of a Product or the Manufacture of a Product infringes, misappropriates, or otherwise violates any Patents or other intellectual property rights of a Third Party, together with copies of material correspondence sent or received by any Related Party or Manufacturer related thereto, as soon as practicable and in any event not more than [ * * * ] Business Days following such delivery or receipt.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Enforcement Actions</w:t>
      </w:r>
      <w:r>
        <w:rPr>
          <w:rFonts w:ascii="Times New Roman" w:hAnsi="Times New Roman"/>
          <w:color w:val="000000"/>
          <w:sz w:val="24"/>
        </w:rPr>
        <w:t>. The Seller shall promptly inform the Buyer after the filing or other submission by a Related Party of a written claim to a Third Party of any infringement, misappropriation, or violation by such Third Party of any Patent Right or other Intellectual Property Right, or if any Related Party receive a written notice from a Third Party alleging that any such Patent Right or other Intellectual Property Right is invalid or unenforceable; provided, that, promptly after the Seller’s or any of its Affiliate’s initiating,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permitting a Licensee to initiate, an enforcement action regarding any suspected infringement, misappropriation, or other violation by a Third Party of any such Patent Right or other Intellectual Property Right, except as the Seller may otherwise determine in its reasonable business judgment (including taking into account any attorney-client privilege, conflicts of interests, confidentiality obligations, protective orders or other similar considerations), the Seller shall provide the Buyer with written notice of such enforcement action and thereafter shall provide the Buyer with such additional information (to the extent permissible under any applicable protective order and obligations of confidentiality) on a regular basis.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Prosecution</w:t>
      </w:r>
      <w:r>
        <w:rPr>
          <w:rFonts w:ascii="Times New Roman" w:hAnsi="Times New Roman"/>
          <w:color w:val="000000"/>
          <w:sz w:val="24"/>
        </w:rPr>
        <w:t>. The Seller shall, or shall cause another Related Party to, diligently file, prosecute, and maintain all material Patent Rights with respect to APG777 within the Major Markets.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Recovery</w:t>
      </w:r>
      <w:r>
        <w:rPr>
          <w:rFonts w:ascii="Times New Roman" w:hAnsi="Times New Roman"/>
          <w:color w:val="000000"/>
          <w:sz w:val="24"/>
        </w:rPr>
        <w:t>. If the Seller or any of its Affiliates or their respective Licensees recover monetary damages from a Third Party, where such damages, whether in the form of judgment or settlement, result from any infringement, misappropriation, or other violation by such Third Party of any Intellectual Property Rights in a manner that is competitive to any Product containing APG777 during the Revenue Payment Term, such recovery will be allocated first to the reimbursement of any expenses incurred by the Seller and its Affiliates or their respective Licensees in bringing such action (including all reasonable attorneys’ fees), and any remaining amounts will be treated as Net Sales of a Product containing APG777, as applicable, in the country in which, and in the Calendar Year of the Revenue Payment Term during which, such infringing, misappropriating, or violating activity occurred. If any such amounts are recovered after the Revenue Payment Term, Seller shall pay to Buyer the Revenue Payment attributable to such amounts within [ * * * ] days following the Seller’s actual receipt of such amounts.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7.6 </w:t>
      </w:r>
      <w:r>
        <w:rPr>
          <w:rFonts w:ascii="Times New Roman" w:hAnsi="Times New Roman"/>
          <w:color w:val="000000"/>
          <w:sz w:val="24"/>
          <w:u w:val="single"/>
        </w:rPr>
        <w:t>In-Licenses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Seller shall promptly (and in any event within [ * * * ] Business Days) provide the Buyer with (i) executed copies of any In-License entered into by the Seller or any of its Affiliates, (ii) executed copies of each material amendment, supplement, modification or written waiver of any provision of any In-License, and (iii) copies of all material reports provided by the Seller or any of its Affiliates to the counterparty to any In-License or provided in writing by the counterparty to any In-License to the Seller or any of its Affiliates, subject, in each case, to any confidentiality requirements existing as of the Effective Date (in which case versions of such documents redacted to the extent necessary (in the reasonable determination of the Seller) for the Seller to comply with such confidentiality requirements shall be provided). The Seller shall not, and shall cause its Affiliates not to, amend or modify, terminate or assign, any In-License that would materially and adversely affect the Buyer’s rights or economic interests under this Agreement. The Seller shall provide the Buyer with written notice promptly (and in any event within [ * * * ] Business Days) following the assignment or termination of any In-License.</w:t>
      </w:r>
    </w:p>
    <w:p>
      <w:pPr>
        <w:pStyle w:val="TextBody"/>
        <w:bidi w:val="0"/>
        <w:spacing w:before="0" w:after="240"/>
        <w:jc w:val="both"/>
        <w:rPr>
          <w:rFonts w:ascii="Times New Roman" w:hAnsi="Times New Roman"/>
          <w:sz w:val="20"/>
        </w:rPr>
      </w:pPr>
      <w:r>
        <w:rPr>
          <w:rFonts w:ascii="Times New Roman" w:hAnsi="Times New Roman"/>
          <w:color w:val="000000"/>
          <w:sz w:val="24"/>
        </w:rPr>
        <w:t>(b) The Seller shall, or shall cause its Affiliates (as applicable) to, comply in all material respects with its and their obligations under each In-License and shall not take any action or forego any action that would reasonably be expected to result in a material breach thereof. Promptly, and in any event within [ * * * ] Business Days, after receipt by Seller or any of its Affiliates of any written notice from a counterparty to any In-License of an alleged material breach under such In-License by Seller or its Affiliates, the Seller shall provide the Buyer with a copy thereof (subject to any confidentiality requirements existing as of the Effective Date in which case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versions of such documents redacted to the extent necessary (in the reasonable determination of the Seller) for the Seller to comply with such confidentiality requirements shall be provided).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Seller shall provide the Buyer with written notice after becoming aware of a counterparty’s material breach of its obligations under any In-License. Promptly, and in any event within [ * * * ] Business Days following the Seller’s or its Affiliate’s notice to a counterparty to any In-License of an alleged material breach by such counterparty, the Seller shall provide the Buyer with a copy thereof (in each case, subject to any confidentiality requirements existing as of the Effective Date, in which case versions of such documents redacted to the extent necessary (in the reasonable determination of the Seller) for the Seller to comply with such confidentiality requirements shall be provided).</w:t>
      </w:r>
    </w:p>
    <w:p>
      <w:pPr>
        <w:pStyle w:val="TextBody"/>
        <w:bidi w:val="0"/>
        <w:spacing w:before="0" w:after="240"/>
        <w:jc w:val="both"/>
        <w:rPr>
          <w:rFonts w:ascii="Times New Roman" w:hAnsi="Times New Roman"/>
          <w:sz w:val="20"/>
        </w:rPr>
      </w:pPr>
      <w:r>
        <w:rPr>
          <w:rFonts w:ascii="Times New Roman" w:hAnsi="Times New Roman"/>
          <w:color w:val="000000"/>
          <w:sz w:val="24"/>
        </w:rPr>
        <w:t>(d) With respect to each In-License entered into by the Seller or its Affiliates after the Effective Date, the Seller shall, and shall cause its Affiliates to, use its or their Commercially Reasonable Efforts to include a provision in such In-License permitting the Seller and its Affiliates to disclose to Buyer the information, notices and correspondence contemplated by this Section 7.6.</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7.7 </w:t>
      </w:r>
      <w:r>
        <w:rPr>
          <w:rFonts w:ascii="Times New Roman" w:hAnsi="Times New Roman"/>
          <w:color w:val="000000"/>
          <w:sz w:val="24"/>
          <w:u w:val="single"/>
        </w:rPr>
        <w:t>Out-Licenses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Except for a Permitted Out-License,</w:t>
      </w:r>
      <w:r>
        <w:rPr>
          <w:rFonts w:ascii="Times New Roman" w:hAnsi="Times New Roman"/>
          <w:color w:val="000000"/>
          <w:sz w:val="20"/>
        </w:rPr>
        <w:t xml:space="preserve"> </w:t>
      </w:r>
      <w:r>
        <w:rPr>
          <w:rFonts w:ascii="Times New Roman" w:hAnsi="Times New Roman"/>
          <w:color w:val="000000"/>
          <w:sz w:val="24"/>
        </w:rPr>
        <w:t>the Seller shall not, and shall not permit any of its Affiliates to, enter into an Out-License to Commercialize a Product containing APG777 in the United States or European Union without the Buyer’s prior written consent. The Seller shall notify the Buyer in writing [ * * * ] prior to the issuance of any public announcement by Seller regarding any Out-License of APG777 in the United States or the European Union, which notice shall include a copy of the draft public announcement.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Seller shall promptly (and in any event within [ * * * ] Business Days) provide the Buyer with (i) executed copies of any Out-License entered into by the Seller or any of its Affiliates for Commercialization of a Product [ * * * ], (ii) executed copies of each material amendment, supplement, modification or written waiver of any provision of any such Out-License, and (iii) copies of all material reports provided by the Seller or any of its Affiliates to the counterparty to any such Out-License or provided in writing by the counterparty to any such Out-License to the Seller or any of its Affiliates in each case, subject to any confidentiality requirements existing as of the Effective Date (in which case versions of such documents redacted to the extent necessary (in the reasonable determination of the Seller) for the Seller to comply with such confidentiality requirements shall be provided). The Seller shall not, and shall cause its Affiliates not to, amend, modify, terminate, or assign any such Out-License in a manner that would reasonably be expected to have a Material Adverse Effect. The Seller shall provide the Buyer with written notice promptly (and in any event within [ * * * ] Business Days) following the assignment or termination of any such Out-License.</w:t>
      </w:r>
    </w:p>
    <w:p>
      <w:pPr>
        <w:pStyle w:val="TextBody"/>
        <w:bidi w:val="0"/>
        <w:spacing w:before="0" w:after="240"/>
        <w:jc w:val="both"/>
        <w:rPr>
          <w:rFonts w:ascii="Times New Roman" w:hAnsi="Times New Roman"/>
          <w:sz w:val="20"/>
        </w:rPr>
      </w:pPr>
      <w:r>
        <w:rPr>
          <w:rFonts w:ascii="Times New Roman" w:hAnsi="Times New Roman"/>
          <w:color w:val="000000"/>
          <w:sz w:val="24"/>
        </w:rPr>
        <w:t>(c) The Seller shall, or shall cause its Affiliates (as applicable) to, comply in all material respects with its and their obligations under each Out-License and shall not take any action or forego any action that would reasonably be expected to result in a material breach thereof. Promptly, and in any event within [ * * * ] Business Days, after receipt of any written notice from a counterparty to any Out-License or any of its Affiliates of an alleged material breach under such Out-License by Seller or its Affiliates, the Seller shall provide the Buyer with a copy thereof, in each case, subject to any confidentiality requirements existing as of the Effective Date (in which case versions of such documents redacted to the extent necessary (in the reasonable determination of the Seller) for the Seller to comply with such confidentiality requirements shall be provided). The Seller shall, or shall cause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its Affiliates (as applicable) to, use its or their Commercially Reasonable Efforts to cure any breaches by it under such Out-License and shall give written notice to the Buyer upon curing any such material breach.</w:t>
      </w:r>
    </w:p>
    <w:p>
      <w:pPr>
        <w:pStyle w:val="TextBody"/>
        <w:bidi w:val="0"/>
        <w:spacing w:before="0" w:after="240"/>
        <w:jc w:val="both"/>
        <w:rPr>
          <w:rFonts w:ascii="Times New Roman" w:hAnsi="Times New Roman"/>
          <w:sz w:val="20"/>
        </w:rPr>
      </w:pPr>
      <w:r>
        <w:rPr>
          <w:rFonts w:ascii="Times New Roman" w:hAnsi="Times New Roman"/>
          <w:color w:val="000000"/>
          <w:sz w:val="24"/>
        </w:rPr>
        <w:t>(d) The Seller shall provide the Buyer with written notice following becoming aware of a counterparty’s material breach of its obligations under any Out-License for Commercialization of a Product in the United States or the European Union.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With respect to each Out-License entered into by the Seller or its Affiliates after the Effective Date, the Seller shall, and shall cause its Affiliates to, use its or their Commercially Reasonable Efforts to include a provision in such Out-License permitting the Seller and its Affiliates to disclose to Buyer the information, notices and correspondence contemplated by this Section 7.7.</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7.8 </w:t>
      </w:r>
      <w:r>
        <w:rPr>
          <w:rFonts w:ascii="Times New Roman" w:hAnsi="Times New Roman"/>
          <w:color w:val="000000"/>
          <w:sz w:val="24"/>
          <w:u w:val="single"/>
        </w:rPr>
        <w:t>Disclosures</w:t>
      </w:r>
      <w:r>
        <w:rPr>
          <w:rFonts w:ascii="Times New Roman" w:hAnsi="Times New Roman"/>
          <w:color w:val="000000"/>
          <w:sz w:val="24"/>
        </w:rPr>
        <w:t>. Except for a press release previously approved in form and substance by the Seller and the Buyer or any other public announcement using substantially the same text as such press release, neither the Buyer nor the Seller shall, and each party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except as may be required by applicable law or stock exchange rule (in which case either party required to make the press release or other public announcement or disclosure shall allow the other party reasonable time to comment on, and, if applicable, reasonably request the disclosing party to seek confidential treatment in respect of portions of, such press release or other public announcement or disclosure in advance of such issuance).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7.9 </w:t>
      </w:r>
      <w:r>
        <w:rPr>
          <w:rFonts w:ascii="Times New Roman" w:hAnsi="Times New Roman"/>
          <w:color w:val="000000"/>
          <w:sz w:val="24"/>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7.10 </w:t>
      </w:r>
      <w:r>
        <w:rPr>
          <w:rFonts w:ascii="Times New Roman" w:hAnsi="Times New Roman"/>
          <w:color w:val="000000"/>
          <w:sz w:val="24"/>
          <w:u w:val="single"/>
        </w:rPr>
        <w:t>Change of Control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Subject to Section 7.10(b), if the Seller consummates a Change of Control with a Person that is not an Affiliate of Seller, the Seller shall pay or cause a payment of the CoC Required Payment to the Buyer on the CoC Payment Date (the “</w:t>
      </w:r>
      <w:r>
        <w:rPr>
          <w:rFonts w:ascii="Times New Roman" w:hAnsi="Times New Roman"/>
          <w:color w:val="000000"/>
          <w:sz w:val="24"/>
          <w:u w:val="single"/>
        </w:rPr>
        <w:t>Buy-Back Requirement</w:t>
      </w:r>
      <w:r>
        <w:rPr>
          <w:rFonts w:ascii="Times New Roman" w:hAnsi="Times New Roman"/>
          <w:color w:val="000000"/>
          <w:sz w:val="20"/>
        </w:rPr>
        <w:t>”</w:t>
      </w:r>
      <w:r>
        <w:rPr>
          <w:rFonts w:ascii="Times New Roman" w:hAnsi="Times New Roman"/>
          <w:color w:val="000000"/>
          <w:sz w:val="24"/>
        </w:rPr>
        <w:t>). Upon the Seller consummating such Change of Control, the Seller shall: (i) promptly, but no later than [ * * * ] Business Days thereafter deliver notice of the same to the Buyer, and (ii) promptly, but no later than [ * * * ] days thereafter (the “</w:t>
      </w:r>
      <w:r>
        <w:rPr>
          <w:rFonts w:ascii="Times New Roman" w:hAnsi="Times New Roman"/>
          <w:color w:val="000000"/>
          <w:sz w:val="24"/>
          <w:u w:val="single"/>
        </w:rPr>
        <w:t>CoC Payment Date</w:t>
      </w:r>
      <w:r>
        <w:rPr>
          <w:rFonts w:ascii="Times New Roman" w:hAnsi="Times New Roman"/>
          <w:color w:val="000000"/>
          <w:sz w:val="20"/>
        </w:rPr>
        <w:t>”</w:t>
      </w:r>
      <w:r>
        <w:rPr>
          <w:rFonts w:ascii="Times New Roman" w:hAnsi="Times New Roman"/>
          <w:color w:val="000000"/>
          <w:sz w:val="24"/>
        </w:rPr>
        <w:t>) pay the CoC Required Payment, unless the Seller exercises a Buy-Back Option in accordance with Section 7.10(b). If the Seller does not exercise a Buy-Back Option, upon the Buyer’s receipt of the CoC Required Payment, the amount of the CoC Required Payment Credit shall be credited against all Revenue Payments otherwise due hereunder after the CoC Payment Date [ * * * ].</w:t>
      </w:r>
    </w:p>
    <w:p>
      <w:pPr>
        <w:pStyle w:val="TextBody"/>
        <w:bidi w:val="0"/>
        <w:spacing w:before="0" w:after="240"/>
        <w:jc w:val="both"/>
        <w:rPr>
          <w:rFonts w:ascii="Times New Roman" w:hAnsi="Times New Roman"/>
          <w:sz w:val="20"/>
        </w:rPr>
      </w:pPr>
      <w:r>
        <w:rPr>
          <w:rFonts w:ascii="Times New Roman" w:hAnsi="Times New Roman"/>
          <w:color w:val="000000"/>
          <w:sz w:val="24"/>
        </w:rPr>
        <w:t>(b) At any time after the Seller enters into a definitive agreement with a Person that is not an Affiliate of the Seller to consummate a Change of Control, the Seller shall have the option to elect to pay or cause a payment to the Buyer of the following: (i) the CoC 180 Payment if the Seller exercises such option prior to or on the one hundred eighty (180) day anniversary of the Effective Date, or (ii) the CoC 2030 Payment if the Seller exercises such option after the one hundred eighty (180) day anniversary of the Effective Date but prior to or on December 31, 2030 (each, a “</w:t>
      </w:r>
      <w:r>
        <w:rPr>
          <w:rFonts w:ascii="Times New Roman" w:hAnsi="Times New Roman"/>
          <w:color w:val="000000"/>
          <w:sz w:val="24"/>
          <w:u w:val="single"/>
        </w:rPr>
        <w:t>Buy-Back Option</w:t>
      </w:r>
      <w:r>
        <w:rPr>
          <w:rFonts w:ascii="Times New Roman" w:hAnsi="Times New Roman"/>
          <w:color w:val="000000"/>
          <w:sz w:val="20"/>
        </w:rPr>
        <w:t>”</w:t>
      </w:r>
      <w:r>
        <w:rPr>
          <w:rFonts w:ascii="Times New Roman" w:hAnsi="Times New Roman"/>
          <w:color w:val="000000"/>
          <w:sz w:val="24"/>
        </w:rPr>
        <w:t>). If the Seller or its designee exercises a Buy-Back Option by delivering written notice to the Buyer within the applicable time frame above, then, in lieu of the CoC Required Payment contemplated by Section 7.10(a), the Seller shall pay or cause a payment of the CoC 2030 Payment or the CoC 180 Payment, as applicable, to the Buyer on the CoC Payment Date. [ * * * ] If the Seller exercises a Buy-Back Option, upon Buyer’s receipt of the CoC Optional Payment, the Revenue Percentage shall be adjusted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accordance with </w:t>
      </w:r>
      <w:r>
        <w:rPr>
          <w:rFonts w:ascii="Times New Roman" w:hAnsi="Times New Roman"/>
          <w:color w:val="000000"/>
          <w:sz w:val="24"/>
          <w:u w:val="single"/>
        </w:rPr>
        <w:t>Exhibit E</w:t>
      </w:r>
      <w:r>
        <w:rPr>
          <w:rFonts w:ascii="Times New Roman" w:hAnsi="Times New Roman"/>
          <w:color w:val="000000"/>
          <w:sz w:val="24"/>
        </w:rPr>
        <w:t>. Notwithstanding anything to the contrary herein, if the Seller exercises a Buy-Back Option prior to the Tranche 4 Trigger, then the Buyer shall no longer be obligated to pay to Seller the Tranche 4 Purchase Price upon the Tranche 4 Trigger.</w:t>
      </w:r>
    </w:p>
    <w:p>
      <w:pPr>
        <w:pStyle w:val="TextBody"/>
        <w:bidi w:val="0"/>
        <w:spacing w:before="0" w:after="240"/>
        <w:jc w:val="both"/>
        <w:rPr>
          <w:rFonts w:ascii="Times New Roman" w:hAnsi="Times New Roman"/>
          <w:sz w:val="20"/>
        </w:rPr>
      </w:pPr>
      <w:bookmarkStart w:id="30" w:name="docxtextref110"/>
      <w:bookmarkEnd w:id="30"/>
      <w:r>
        <w:rPr>
          <w:rFonts w:ascii="Times New Roman" w:hAnsi="Times New Roman"/>
          <w:color w:val="000000"/>
          <w:sz w:val="24"/>
        </w:rPr>
        <w:t xml:space="preserve">Section 7.11 </w:t>
      </w:r>
      <w:r>
        <w:rPr>
          <w:rFonts w:ascii="Times New Roman" w:hAnsi="Times New Roman"/>
          <w:color w:val="000000"/>
          <w:sz w:val="24"/>
          <w:u w:val="single"/>
        </w:rPr>
        <w:t>Further Assurances</w:t>
      </w:r>
      <w:r>
        <w:rPr>
          <w:rFonts w:ascii="Times New Roman" w:hAnsi="Times New Roman"/>
          <w:color w:val="000000"/>
          <w:sz w:val="24"/>
        </w:rPr>
        <w:t>. The Seller and the Buyer agree to execute and deliver such other documents, certificates, agreements and other writings and to take such other actions as may be reasonably necessary in order to give effect to and carry on the transactions contemplated by this Agreement. In furtherance of the foregoing, the Seller and the Buyer will promptly take such action and execute, acknowledge and deliver such agreements, instruments or other documents as may be necessary in order for the Buyer (i)</w:t>
      </w:r>
      <w:r>
        <w:rPr>
          <w:rFonts w:ascii="Times New Roman" w:hAnsi="Times New Roman"/>
          <w:color w:val="000000"/>
          <w:sz w:val="20"/>
        </w:rPr>
        <w:t xml:space="preserve"> </w:t>
      </w:r>
      <w:r>
        <w:rPr>
          <w:rFonts w:ascii="Times New Roman" w:hAnsi="Times New Roman"/>
          <w:color w:val="000000"/>
          <w:sz w:val="24"/>
        </w:rPr>
        <w:t xml:space="preserve">to perfect and protect, or maintain the perfection of, the Lien on the Back-Up Security Interest purported to be created hereby and (ii) to exercise and enforce its rights and remedies hereunder in respect of the Back-up Security Interest, including: </w:t>
      </w:r>
      <w:bookmarkStart w:id="31" w:name="docxtextref111"/>
      <w:bookmarkEnd w:id="31"/>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executing and filing (to the extent, if any, that the Seller’s signature is required thereon) or authenticating the filing of, such financing or continuation statements, or amendments thereto, </w:t>
      </w:r>
      <w:bookmarkStart w:id="32" w:name="docxtextref114"/>
      <w:bookmarkEnd w:id="32"/>
      <w:r>
        <w:rPr>
          <w:rFonts w:ascii="Times New Roman" w:hAnsi="Times New Roman"/>
          <w:color w:val="000000"/>
          <w:sz w:val="24"/>
        </w:rPr>
        <w:t>and (B)</w:t>
      </w:r>
      <w:r>
        <w:rPr>
          <w:rFonts w:ascii="Times New Roman" w:hAnsi="Times New Roman"/>
          <w:color w:val="000000"/>
          <w:sz w:val="20"/>
        </w:rPr>
        <w:t xml:space="preserve"> </w:t>
      </w:r>
      <w:r>
        <w:rPr>
          <w:rFonts w:ascii="Times New Roman" w:hAnsi="Times New Roman"/>
          <w:color w:val="000000"/>
          <w:sz w:val="24"/>
        </w:rPr>
        <w:t>with respect to Intellectual Property Rights constituting the APG777 Product Rights existing on and after the Effective Date, executing and recording in the United States Patent and Trademark Office appropriate instruments granting a security interest therein, as may be necessary in order to perfect and preserve the security interest purported to be created hereby.</w:t>
      </w:r>
    </w:p>
    <w:p>
      <w:pPr>
        <w:pStyle w:val="TextBody"/>
        <w:bidi w:val="0"/>
        <w:spacing w:before="0" w:after="240"/>
        <w:jc w:val="both"/>
        <w:rPr>
          <w:rFonts w:ascii="Times New Roman" w:hAnsi="Times New Roman"/>
          <w:sz w:val="20"/>
        </w:rPr>
      </w:pPr>
      <w:bookmarkStart w:id="33" w:name="docxtextref12"/>
      <w:bookmarkEnd w:id="33"/>
      <w:r>
        <w:rPr>
          <w:rFonts w:ascii="Times New Roman" w:hAnsi="Times New Roman"/>
          <w:color w:val="000000"/>
          <w:sz w:val="24"/>
        </w:rPr>
        <w:t xml:space="preserve">Section 7.12 </w:t>
      </w:r>
      <w:r>
        <w:rPr>
          <w:rFonts w:ascii="Times New Roman" w:hAnsi="Times New Roman"/>
          <w:color w:val="000000"/>
          <w:sz w:val="24"/>
          <w:u w:val="single"/>
        </w:rPr>
        <w:t>Late Payments</w:t>
      </w:r>
      <w:r>
        <w:rPr>
          <w:rFonts w:ascii="Times New Roman" w:hAnsi="Times New Roman"/>
          <w:color w:val="000000"/>
          <w:sz w:val="24"/>
        </w:rPr>
        <w:t>. A late fee of the lesser of (a)</w:t>
      </w:r>
      <w:r>
        <w:rPr>
          <w:rFonts w:ascii="Times New Roman" w:hAnsi="Times New Roman"/>
          <w:color w:val="000000"/>
          <w:sz w:val="20"/>
        </w:rPr>
        <w:t xml:space="preserve"> </w:t>
      </w:r>
      <w:r>
        <w:rPr>
          <w:rFonts w:ascii="Times New Roman" w:hAnsi="Times New Roman"/>
          <w:color w:val="000000"/>
          <w:sz w:val="24"/>
        </w:rPr>
        <w:t xml:space="preserve">[ * * * ] over the Prime Rate, and </w:t>
      </w:r>
      <w:bookmarkStart w:id="34" w:name="docxtextref13"/>
      <w:bookmarkEnd w:id="34"/>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highest rate permitted under applicable law shall accrue on all unpaid amounts with respect to any payment owed to either party hereunder, including the Tranche Payments or any Revenue Payment, from the date such obligation was due until the date payment is made. The imposition and payment of a late fee shall not constitute a waiver of the rights of either party with respect to such payment default. [ * * *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7.13 </w:t>
      </w:r>
      <w:r>
        <w:rPr>
          <w:rFonts w:ascii="Times New Roman" w:hAnsi="Times New Roman"/>
          <w:color w:val="000000"/>
          <w:sz w:val="24"/>
          <w:u w:val="single"/>
        </w:rPr>
        <w:t>Preservation of Assets; Other Creditors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At all times prior to the Lien Termination Date, the Seller shall not, and shall not permit any of its Affiliates to, create, incur, assume or suffer to exist any Lien on the Maximum Revenue Participation Right, the Revenue Payments, the APG777 Product Rights or any “proceeds” (as defined in the UCC) of each of the Maximum Revenue Participation Right, the Revenue Payments and the APG777 Product Rights except for (a) the Back-Up Security Interest and (b) as applicable, any Permitted Lien.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If, prior to the Lien Termination Date, the Seller or its Affiliates enters into a transaction to assign, convey, monetize, or otherwise transfer or loan against the Seller’s retained interest in Net Sales of any Product (an “</w:t>
      </w:r>
      <w:r>
        <w:rPr>
          <w:rFonts w:ascii="Times New Roman" w:hAnsi="Times New Roman"/>
          <w:color w:val="000000"/>
          <w:sz w:val="24"/>
          <w:u w:val="single"/>
        </w:rPr>
        <w:t>Additional Monetization</w:t>
      </w:r>
      <w:r>
        <w:rPr>
          <w:rFonts w:ascii="Times New Roman" w:hAnsi="Times New Roman"/>
          <w:color w:val="000000"/>
          <w:sz w:val="20"/>
        </w:rPr>
        <w:t>”</w:t>
      </w:r>
      <w:r>
        <w:rPr>
          <w:rFonts w:ascii="Times New Roman" w:hAnsi="Times New Roman"/>
          <w:color w:val="000000"/>
          <w:sz w:val="24"/>
        </w:rPr>
        <w:t>) and such Additional Monetization transaction is secured by a Lien on any APG777 Product Rights (or any “proceeds” (as defined in the UCC) thereof) then the Buyer and the counterparty to such Additional Monetization shall enter into a Customary Additional Monetization Junior Intercreditor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 Prior to the Lien Termination Date, the Seller and its Subsidiaries shall not enter into any Senior Debt unless, concurrently with the entry by the Seller and its Subsidiaries into such Senior Debt, the Buyer and the counterparty to such Senior Debt enters into a Customary Senior Debt Intercreditor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Notwithstanding anything in this Agreement to the contrary, the portion of the Buyer’s Back-Up Security Interest in the APG777 Product Rights and any "proceeds" (as defined in the UCC) thereof shall be (i) [ * *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If, prior to the Lien Termination Date, any Senior Debt is outstanding and the Seller enters into an Additional Monetization secured by a Lien on APG777 Products Rights (or any proceeds (as defined in the UCC) thereof) then, concurrently with the effectiveness of such Additional Monetization transaction, the Buyer, the counterparty to such Additional Monetization and the counterparty to such Senior Debt shall enter into a Customary Additional Monetization Senior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4"/>
        </w:rPr>
        <w:t>(f) Notwithstanding anything herein to the contrary, neither the Seller nor any of its Affiliates shall take any actions, fail to take any actions, permit any actions, fail to permit any actions, enter into any contracts or arrangements, or amend, restate, supplement, waive any rights under or otherwise modify any contracts or arrangements in a manner that would, individually or in the aggregate, reasonably be expected to adversely affect in any material respect the Initial Revenue Participation Right, the Tranche 4 Incremental Revenue Participation Right, the Revenue Payments, the Commercialization of a Product or the Buyer’s rights under this Agreement, with the intent to circumvent the provisions of, or obligations under, this Agreement. Prior to the Lien Termination Date, the Seller shall not take any action that would impair the validity or enforceability of the Buyer’s security interest in and Lien on the Back-Up Security Interest.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For clarity, subject to Section 7.7, this Agreement shall not be construed, understood, or interpreted to limit the Seller’s or its Affiliates’ rights to enter into any Out-License or any other license, sublicense or other similar arrangements between the Seller or any of its Affiliates, on the one hand, and any Third Party, on the other hand, pursuant to which the Seller or any of its Affiliates grants a license, sublicense or other similar rights under any assets or property of Seller and its Affiliates, including Intellectual Property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For clarity, on and after the Lien Termination Date, the Seller may enter into any Senior Debt and any Additional Monetization without any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7.14 </w:t>
      </w:r>
      <w:r>
        <w:rPr>
          <w:rFonts w:ascii="Times New Roman" w:hAnsi="Times New Roman"/>
          <w:color w:val="000000"/>
          <w:sz w:val="24"/>
          <w:u w:val="single"/>
        </w:rPr>
        <w:t>Termination of Security Interest.</w:t>
      </w:r>
      <w:r>
        <w:rPr>
          <w:rFonts w:ascii="Times New Roman" w:hAnsi="Times New Roman"/>
          <w:color w:val="000000"/>
          <w:sz w:val="20"/>
        </w:rPr>
        <w:t xml:space="preserve"> </w:t>
      </w:r>
      <w:r>
        <w:rPr>
          <w:rFonts w:ascii="Times New Roman" w:hAnsi="Times New Roman"/>
          <w:color w:val="000000"/>
          <w:sz w:val="24"/>
        </w:rPr>
        <w:t>Upon the later of (a) a Change of Control with a Permitted Transferee and (b) the Buyer’s receipt of the CoC Required Payment (or, if the Seller has exercised a Buy-Back Option pursuant to Section 7.10(b), the applicable CoC Optional Payment) (such later date, the “</w:t>
      </w:r>
      <w:r>
        <w:rPr>
          <w:rFonts w:ascii="Times New Roman" w:hAnsi="Times New Roman"/>
          <w:color w:val="000000"/>
          <w:sz w:val="24"/>
          <w:u w:val="single"/>
        </w:rPr>
        <w:t>Lien Termination Date”</w:t>
      </w:r>
      <w:r>
        <w:rPr>
          <w:rFonts w:ascii="Times New Roman" w:hAnsi="Times New Roman"/>
          <w:color w:val="000000"/>
          <w:sz w:val="24"/>
        </w:rPr>
        <w:t>), all security interests and Liens granted hereunder, including the Back-Up Security Interest and any other collateral granted to the Buyer shall automatically and immediately terminate. In connection with any such termination and release of such security interests and Liens, the Buyer shall promptly provide such endorsements or proper documents and instruments (including UCC-3 termination statements or releases) reasonably requested by the Seller, acknowledging the termination and the release of such security interests and Liens.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7.15 </w:t>
      </w:r>
      <w:r>
        <w:rPr>
          <w:rFonts w:ascii="Times New Roman" w:hAnsi="Times New Roman"/>
          <w:color w:val="000000"/>
          <w:sz w:val="24"/>
          <w:u w:val="single"/>
        </w:rPr>
        <w:t>Additional Debt</w:t>
      </w:r>
      <w:r>
        <w:rPr>
          <w:rFonts w:ascii="Times New Roman" w:hAnsi="Times New Roman"/>
          <w:color w:val="000000"/>
          <w:sz w:val="24"/>
        </w:rPr>
        <w:t>. Subject to written agreement by the Parties, upon the written request of the Seller, the Parties will negotiate in good faith a debt financing of up to $500,000,000 on reasonable and customary terms.</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ARTICLE 8</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INDEMNIFICATION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8.1 </w:t>
      </w:r>
      <w:r>
        <w:rPr>
          <w:rFonts w:ascii="Times New Roman" w:hAnsi="Times New Roman"/>
          <w:color w:val="000000"/>
          <w:sz w:val="24"/>
          <w:u w:val="single"/>
        </w:rPr>
        <w:t>General Indemnity</w:t>
      </w:r>
      <w:r>
        <w:rPr>
          <w:rFonts w:ascii="Times New Roman" w:hAnsi="Times New Roman"/>
          <w:color w:val="000000"/>
          <w:sz w:val="24"/>
        </w:rPr>
        <w:t>. Subject to Section 8.3, from and after the Effective Date:</w:t>
      </w:r>
    </w:p>
    <w:p>
      <w:pPr>
        <w:pStyle w:val="TextBody"/>
        <w:bidi w:val="0"/>
        <w:spacing w:before="0" w:after="240"/>
        <w:jc w:val="both"/>
        <w:rPr>
          <w:rFonts w:ascii="Times New Roman" w:hAnsi="Times New Roman"/>
          <w:sz w:val="20"/>
        </w:rPr>
      </w:pPr>
      <w:bookmarkStart w:id="35" w:name="ole_link2"/>
      <w:bookmarkEnd w:id="35"/>
      <w:r>
        <w:rPr>
          <w:rFonts w:ascii="Times New Roman" w:hAnsi="Times New Roman"/>
          <w:color w:val="000000"/>
          <w:sz w:val="24"/>
        </w:rPr>
        <w:t>(a) The Seller hereby agrees to indemnify, defend and hold harmless the Buyer and its Affiliates and its and their directors, managers, trustees, officers, agents, employees and advisors (the “</w:t>
      </w:r>
      <w:r>
        <w:rPr>
          <w:rFonts w:ascii="Times New Roman" w:hAnsi="Times New Roman"/>
          <w:color w:val="000000"/>
          <w:sz w:val="24"/>
          <w:u w:val="single"/>
        </w:rPr>
        <w:t>Buyer Indemnified Parties</w:t>
      </w:r>
      <w:r>
        <w:rPr>
          <w:rFonts w:ascii="Times New Roman" w:hAnsi="Times New Roman"/>
          <w:color w:val="000000"/>
          <w:sz w:val="20"/>
        </w:rPr>
        <w:t>”</w:t>
      </w:r>
      <w:r>
        <w:rPr>
          <w:rFonts w:ascii="Times New Roman" w:hAnsi="Times New Roman"/>
          <w:color w:val="000000"/>
          <w:sz w:val="24"/>
        </w:rPr>
        <w:t xml:space="preserve">) from, against and in respect of all Losses suffered or incurred by the Buyer Indemnified Parties to the extent arising out of or resulting from any Claims by a Third Party against any Buyer Indemnified Parties (i) to the extent arising from (A) </w:t>
      </w:r>
      <w:bookmarkStart w:id="36" w:name="ole_link14"/>
      <w:bookmarkEnd w:id="36"/>
      <w:r>
        <w:rPr>
          <w:rFonts w:ascii="Times New Roman" w:hAnsi="Times New Roman"/>
          <w:color w:val="000000"/>
          <w:sz w:val="24"/>
        </w:rPr>
        <w:t>any material breach of any of the representations or warranties (in each case, when made) of the Seller in any Transaction Document, and (B) any material breach of any of the covenants or agreements of the Seller in any Transaction Document, and (ii) brought directly in connection with the development, Manufacture or Commercialization or other Exploitation of a Product by or on behalf of Seller or its Related Parties, including any claim of intellectual property infringement or misappropriation in connection with any Product; provided, however, that the foregoing shall exclude any indemnification to any Buyer Indemnified Party to the extent resulting from (A) the gross negligence, willful misconduct, or fraud of any Buyer Indemnified Party or (B) material breach of this Agreement by the Buyer. For the avoidance of doubt, the foregoing indemnification obligations of the Seller do not apply to any direct claims or indemnities between the Parties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(b) The Buyer hereby agrees to indemnify, defend and hold harmless the Seller and its Affiliates and its and their directors, managers, trustees, officers, agents, employees and advisors (the “</w:t>
      </w:r>
      <w:r>
        <w:rPr>
          <w:rFonts w:ascii="Times New Roman" w:hAnsi="Times New Roman"/>
          <w:color w:val="000000"/>
          <w:sz w:val="24"/>
          <w:u w:val="single"/>
        </w:rPr>
        <w:t>Seller Indemnified Parties</w:t>
      </w:r>
      <w:r>
        <w:rPr>
          <w:rFonts w:ascii="Times New Roman" w:hAnsi="Times New Roman"/>
          <w:color w:val="000000"/>
          <w:sz w:val="20"/>
        </w:rPr>
        <w:t>”</w:t>
      </w:r>
      <w:r>
        <w:rPr>
          <w:rFonts w:ascii="Times New Roman" w:hAnsi="Times New Roman"/>
          <w:color w:val="000000"/>
          <w:sz w:val="24"/>
        </w:rPr>
        <w:t>) from, against and in respect of all Losses suffered or incurred by the Seller Indemnified Parties to the extent arising out of or resulting from any Claims by a Third Party against any Seller Indemnified Parties to the extent arising from (i) any material breach of any of the representations or warranties (in each case, when made) of the Buyer in any Transaction Document and (ii) any material breach of any of the covenants or agreements of the Buyer in any Transaction Document; provided, however, that the foregoing shall exclude any indemnification to any Seller Indemnified Party to the extent resulting from (A) the gross negligence, willful misconduct, or fraud of any Seller Indemnified Party or (B) material breach of this Agreement by the Seller. For the avoidance of doubt, the foregoing indemnification obligations of the Buyer do not apply to any direct claims or indemnities between the Parties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8.2 </w:t>
      </w:r>
      <w:r>
        <w:rPr>
          <w:rFonts w:ascii="Times New Roman" w:hAnsi="Times New Roman"/>
          <w:color w:val="000000"/>
          <w:sz w:val="24"/>
          <w:u w:val="single"/>
        </w:rPr>
        <w:t>Notice of Claims</w:t>
      </w:r>
      <w:r>
        <w:rPr>
          <w:rFonts w:ascii="Times New Roman" w:hAnsi="Times New Roman"/>
          <w:color w:val="000000"/>
          <w:sz w:val="24"/>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hAnsi="Times New Roman"/>
          <w:color w:val="000000"/>
          <w:sz w:val="24"/>
          <w:u w:val="single"/>
        </w:rPr>
        <w:t>Indemnified Party</w:t>
      </w:r>
      <w:r>
        <w:rPr>
          <w:rFonts w:ascii="Times New Roman" w:hAnsi="Times New Roman"/>
          <w:color w:val="000000"/>
          <w:sz w:val="20"/>
        </w:rPr>
        <w:t>”</w:t>
      </w:r>
      <w:r>
        <w:rPr>
          <w:rFonts w:ascii="Times New Roman" w:hAnsi="Times New Roman"/>
          <w:color w:val="000000"/>
          <w:sz w:val="24"/>
        </w:rPr>
        <w:t>), has suffered or incurred any Losses for which indemnification may be sought under this ARTICLE 8, the Indemnified Party shall so notify the other party from whom indemnification is sought under this ARTICLE 8 (the “</w:t>
      </w:r>
      <w:r>
        <w:rPr>
          <w:rFonts w:ascii="Times New Roman" w:hAnsi="Times New Roman"/>
          <w:color w:val="000000"/>
          <w:sz w:val="24"/>
          <w:u w:val="single"/>
        </w:rPr>
        <w:t>Indemnifying Party</w:t>
      </w:r>
      <w:r>
        <w:rPr>
          <w:rFonts w:ascii="Times New Roman" w:hAnsi="Times New Roman"/>
          <w:color w:val="000000"/>
          <w:sz w:val="20"/>
        </w:rPr>
        <w:t>”</w:t>
      </w:r>
      <w:r>
        <w:rPr>
          <w:rFonts w:ascii="Times New Roman" w:hAnsi="Times New Roman"/>
          <w:color w:val="000000"/>
          <w:sz w:val="24"/>
        </w:rPr>
        <w:t>) promptly in writing describing such Loss, the amount or estimated amount thereof, if known or reasonably capable of estimation, and the method of computation of such Loss, all with reasonable particularity and containing a reference to the provisions of the relevant Transaction Document in respect of which such Loss shall have occurred. If any claim, action, suit or proceeding is asserted or instituted by or against a Third Party with respect to which an Indemnified Party intends to claim any Loss under this Section 8.2, such Indemnified Party shall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8.3 </w:t>
      </w:r>
      <w:r>
        <w:rPr>
          <w:rFonts w:ascii="Times New Roman" w:hAnsi="Times New Roman"/>
          <w:color w:val="000000"/>
          <w:sz w:val="24"/>
          <w:u w:val="single"/>
        </w:rPr>
        <w:t>Limitations on Liability</w:t>
      </w:r>
      <w:r>
        <w:rPr>
          <w:rFonts w:ascii="Times New Roman" w:hAnsi="Times New Roman"/>
          <w:color w:val="000000"/>
          <w:sz w:val="24"/>
        </w:rPr>
        <w:t>. Except for a Party’s breach of its confidentiality or non-use obligations under ARTICLE 9, no party hereto shall be liable (and no claim for indemnification hereunder shall be asserted) for any indirect, consequential, punitive, special or incidental damages, including loss of profits. Notwithstanding the foregoing, (i) the Buyer shall be entitled to make indemnification claims, in accordance with the procedures set forth in this ARTICLE 8, for Losses consisting of any portion of the Revenue Payments that the Buyer was entitled to receive but did not receive timely or at all due to any indemnifiable events under any Transaction Document, and such portion of the Revenue Payments shall not be deemed indirect, consequential, punitive, special or incidental damages, including loss of profits, for any purpose of any Transaction Document and (ii) any indirect, consequential, punitive, special or incidental damages, including loss of profits awarded to a Third Party in connection with a claim pursuant to Section 8.4 shall be considered Losses for purposes of this ARTICLE 8.</w:t>
      </w:r>
    </w:p>
    <w:p>
      <w:pPr>
        <w:pStyle w:val="TextBody"/>
        <w:bidi w:val="0"/>
        <w:spacing w:before="0" w:after="240"/>
        <w:jc w:val="both"/>
        <w:rPr>
          <w:rFonts w:ascii="Times New Roman" w:hAnsi="Times New Roman"/>
          <w:sz w:val="20"/>
        </w:rPr>
      </w:pPr>
      <w:bookmarkStart w:id="37" w:name="ole_link6"/>
      <w:bookmarkEnd w:id="37"/>
      <w:r>
        <w:rPr>
          <w:rFonts w:ascii="Times New Roman" w:hAnsi="Times New Roman"/>
          <w:color w:val="000000"/>
          <w:sz w:val="24"/>
        </w:rPr>
        <w:t xml:space="preserve">Section 8.4 </w:t>
      </w:r>
      <w:r>
        <w:rPr>
          <w:rFonts w:ascii="Times New Roman" w:hAnsi="Times New Roman"/>
          <w:color w:val="000000"/>
          <w:sz w:val="24"/>
          <w:u w:val="single"/>
        </w:rPr>
        <w:t>Third Party Claims</w:t>
      </w:r>
      <w:r>
        <w:rPr>
          <w:rFonts w:ascii="Times New Roman" w:hAnsi="Times New Roman"/>
          <w:color w:val="000000"/>
          <w:sz w:val="24"/>
        </w:rPr>
        <w:t>. Upon providing notice to an Indemnifying Party by an Indemnified Party pursuant to Section 8.2 of the commencement of any action, suit or proceeding against such Indemnified Party by a Third Party with respect to which such Indemnified Party intends to claim any Loss under this ARTICLE 8, such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commercially reasonable efforts to cooperate in such defense; provided, that the Indemnifying Party shall bear the Indemnified Party’s reasonable out-of-pocket costs and expenses incurred in connection with such cooperation.</w:t>
      </w:r>
      <w:bookmarkStart w:id="38" w:name="ole_link7"/>
      <w:bookmarkEnd w:id="38"/>
      <w:r>
        <w:rPr>
          <w:rFonts w:ascii="Times New Roman" w:hAnsi="Times New Roman"/>
          <w:color w:val="000000"/>
          <w:sz w:val="20"/>
        </w:rPr>
        <w:t xml:space="preserve"> </w:t>
      </w:r>
      <w:r>
        <w:rPr>
          <w:rFonts w:ascii="Times New Roman" w:hAnsi="Times New Roman"/>
          <w:color w:val="000000"/>
          <w:sz w:val="24"/>
        </w:rPr>
        <w:t>The Indemnified Party may retain separate co-counsel at its expense and may participate in the defense of such claim. The Indemnifying Party shall not consent to the entry of any Judgment or enter into any settlement with respect to such claim without the prior written consent of the Indemnified Party unless such Judgment or settlement (A) provides for the payment by the Indemnifying Party of money as the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 admission of any violation of any law, rule, regulation or Judgment, or the rights of any Person, and has no effect on any other claims that may be made against the Indemnified Party. In the event the Indemnifying Party does not or ceases to conduct the defense of such claim in compliance with this Section 8.4, (i) the Indemnified Party may defend against, and consent to the entry of any reasonable Judgment or enter into any reasonable settlement with respect to, such claim in any manner such Indemnified Party reasonably deems appropriate, (ii) subject to the limitations in Section 8.3,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8.</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8.5 </w:t>
      </w:r>
      <w:r>
        <w:rPr>
          <w:rFonts w:ascii="Times New Roman" w:hAnsi="Times New Roman"/>
          <w:color w:val="000000"/>
          <w:sz w:val="24"/>
          <w:u w:val="single"/>
        </w:rPr>
        <w:t>Exclusive Remedy</w:t>
      </w:r>
      <w:r>
        <w:rPr>
          <w:rFonts w:ascii="Times New Roman" w:hAnsi="Times New Roman"/>
          <w:color w:val="000000"/>
          <w:sz w:val="24"/>
        </w:rPr>
        <w:t>. Except as set forth in Section 11.10, from and after the Effective Date, the rights of the 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and agreements made under any Transaction Document or any certificate, document or instrument delivered under any Transaction Document, and each party hereto hereby waives, to the fullest extent permitted under applicable law, and agrees not to assert any other claim or action in respect of any such breach. Notwithstanding the foregoing, claims for fraud shall not be waived or limited in any way by this ARTICLE 8.</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8.6 </w:t>
      </w:r>
      <w:r>
        <w:rPr>
          <w:rFonts w:ascii="Times New Roman" w:hAnsi="Times New Roman"/>
          <w:color w:val="000000"/>
          <w:sz w:val="24"/>
          <w:u w:val="single"/>
        </w:rPr>
        <w:t>Tax Treatment of Indemnification Payments</w:t>
      </w:r>
      <w:r>
        <w:rPr>
          <w:rFonts w:ascii="Times New Roman" w:hAnsi="Times New Roman"/>
          <w:color w:val="000000"/>
          <w:sz w:val="24"/>
        </w:rPr>
        <w:t>. Any indemnification payments made pursuant to this ARTICLE 8 will be treated as a purchase price adjustment for U.S. federal income tax purposes to the fullest extent permitted by applicable law, except to the extent otherwise required pursuant to a “determination,” within the meaning of Section 1313(a) of the US Code.</w:t>
      </w:r>
      <w:r>
        <w:rPr>
          <w:rFonts w:ascii="Times New Roman" w:hAnsi="Times New Roman"/>
          <w:color w:val="000000"/>
          <w:sz w:val="20"/>
        </w:rPr>
        <w:t xml:space="preserve"> </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ARTICLE 9</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CONFIDENTIALITY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9.1 </w:t>
      </w:r>
      <w:r>
        <w:rPr>
          <w:rFonts w:ascii="Times New Roman" w:hAnsi="Times New Roman"/>
          <w:color w:val="000000"/>
          <w:sz w:val="24"/>
          <w:u w:val="single"/>
        </w:rPr>
        <w:t>Confidentiality</w:t>
      </w:r>
      <w:r>
        <w:rPr>
          <w:rFonts w:ascii="Times New Roman" w:hAnsi="Times New Roman"/>
          <w:color w:val="000000"/>
          <w:sz w:val="24"/>
        </w:rPr>
        <w:t>. Except as provided in this ARTICLE 9 or otherwise agreed in writing by the parties, the parties agree that, during the term of this Agreement and for [ * * * ] thereafter, each party (the “</w:t>
      </w:r>
      <w:r>
        <w:rPr>
          <w:rFonts w:ascii="Times New Roman" w:hAnsi="Times New Roman"/>
          <w:color w:val="000000"/>
          <w:sz w:val="24"/>
          <w:u w:val="single"/>
        </w:rPr>
        <w:t>Receiving Party</w:t>
      </w:r>
      <w:r>
        <w:rPr>
          <w:rFonts w:ascii="Times New Roman" w:hAnsi="Times New Roman"/>
          <w:color w:val="000000"/>
          <w:sz w:val="20"/>
        </w:rPr>
        <w:t>”</w:t>
      </w:r>
      <w:r>
        <w:rPr>
          <w:rFonts w:ascii="Times New Roman" w:hAnsi="Times New Roman"/>
          <w:color w:val="000000"/>
          <w:sz w:val="24"/>
        </w:rPr>
        <w:t>) shall (a) keep confidential and shall not publish or otherwise disclose, except as permitted pursuant to Section 9.2, any information furnished to it by or on behalf of the other party (the “</w:t>
      </w:r>
      <w:r>
        <w:rPr>
          <w:rFonts w:ascii="Times New Roman" w:hAnsi="Times New Roman"/>
          <w:color w:val="000000"/>
          <w:sz w:val="24"/>
          <w:u w:val="single"/>
        </w:rPr>
        <w:t>Disclosing Party</w:t>
      </w:r>
      <w:r>
        <w:rPr>
          <w:rFonts w:ascii="Times New Roman" w:hAnsi="Times New Roman"/>
          <w:color w:val="000000"/>
          <w:sz w:val="20"/>
        </w:rPr>
        <w:t>”</w:t>
      </w:r>
      <w:r>
        <w:rPr>
          <w:rFonts w:ascii="Times New Roman" w:hAnsi="Times New Roman"/>
          <w:color w:val="000000"/>
          <w:sz w:val="24"/>
        </w:rPr>
        <w:t>) pursuant to this Agreement (such information, “</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of the Disclosing Party), and (b) shall not use the Confidential Information of the Disclosing Party for any purpose other than as provided for in this Agreement (which includes the exercise of any rights or the performance of any obligations hereunder), except in each case ((a) and (b)) for that portion of such information that the Receiving Party can demonstrate by competent proof: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was already known to the Receiving Party, other than under an obligation of confidentiality, at the time of disclosure by the Disclosing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was generally available to the public or otherwise part of the public domain at the time of its disclosure to the Receiving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became generally available to the public or otherwise part of the public domain after its disclosure and other than through any act or omission of the Receiving Party in breach of any confidentiality obligation (including under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is independently developed by the Receiving Party or any of its Affiliates without the use of the Confidential Information of the Disclosing Party;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is subsequently disclosed to the Receiving Party on a non-confidential basis by a Third Party who did not receive such Confidential Information from the Disclosing Party and without obligations of confidentiality with respect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9.2 </w:t>
      </w:r>
      <w:r>
        <w:rPr>
          <w:rFonts w:ascii="Times New Roman" w:hAnsi="Times New Roman"/>
          <w:color w:val="000000"/>
          <w:sz w:val="24"/>
          <w:u w:val="single"/>
        </w:rPr>
        <w:t>Authorized Disclosure</w:t>
      </w:r>
      <w:r>
        <w:rPr>
          <w:rFonts w:ascii="Times New Roman" w:hAnsi="Times New Roman"/>
          <w:color w:val="000000"/>
          <w:sz w:val="24"/>
        </w:rPr>
        <w:t>. Either party may disclose Confidential Information to the extent such disclosure is reasonably necessary in the following situations: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prosecuting or defending litigation between the parties hereto;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complying with applicable laws and regulations, including regulations promulgated by securities exchanges;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complying with a valid order of a court or administrative body of competent jurisdiction or other Governmental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disclosure to its Affiliates and its and its Affiliates’ Representatives; provided, that each recipient of Confidential Information must be bound by obligations of confidentiality and non-use at least as stringent as those set forth in this Agreement prior to any such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disclosure to its actual or potential investors, lenders, collaborators, partners, licensees, licensors, acquirers, assignees or transferees and their respective accountants, financial advisors and other Representatives, provided, that such disclosure shall be made only to the extent customarily required to consummate such investment, financing transaction or acquisition and that each recipient of Confidential Information must be bound by obligations of confidentiality and non-use at least as stringent as those set forth in this Agreement prior to any such disclosure;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upon the prior written consent of the Disclosing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in the event the Receiving Party is required to make a disclosure of the Disclosing Party’s Confidential Information pursuant to Section 9.2(b) or (c), it will, except where impracticable, give reasonable advance notice to the Disclosing Party of such disclosure and use reasonable efforts to secure confidential treatment of such information. Without limiting the foregoing, a party may disclose the other party’s Confidential Information, without the other party’s prior written permission, to the extent it is required to do so by law, regulation, or a court or administrative order or an order of another Governmental Entity; however, prior to such disclosure, the compelled party shall notify the other party (which notice shall include a copy of the relevant portion of any applicable subpoena or order) as promptly as possible after it learns of such requirement to disclose, except to the extent such notification would be impractical or legally impermissible (in which event notification shall be made as soon as reasonably practicable and permissible), provide the other party with reasonable opportunity to pursue legal action to prevent or limit the required disclosure, and, if requested, provide reasonable assistance at the other party’s expense in undertaking reasonable legal action to prevent or limit the required disclosure. In the event of any such required disclosure, the party required to disclose the other party’s Confidential Information shall disclose only that portion of the other party’s Confidential Information that it is legally required to disclose based on the advice of its counsel. The Receiving Party shall continue to hold in confidence hereunder any such disclosed Confidential Information of the Disclosing Party unless and until such information is no longer required to be held in confidence under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Buyer shall not seek, because of, or based upon, any Confidential Information of the Seller, Patent or any other form of intellectual property protection with respect to, or related to, any such Confidential Information or use the Confidential Information of the Seller to obtain, or seek to obtain, a commercial advantage over the Seller. Without limiting the foregoing, the Buyer shall not file any Patent application based upon, disclosing or using any of the Confidential Information of the Seller provided hereunder.</w:t>
      </w:r>
    </w:p>
    <w:p>
      <w:pPr>
        <w:pStyle w:val="TextBody"/>
        <w:bidi w:val="0"/>
        <w:spacing w:before="0" w:after="240"/>
        <w:jc w:val="both"/>
        <w:rPr>
          <w:rFonts w:ascii="Times New Roman" w:hAnsi="Times New Roman"/>
          <w:sz w:val="20"/>
        </w:rPr>
      </w:pPr>
      <w:r>
        <w:rPr>
          <w:rFonts w:ascii="Times New Roman" w:hAnsi="Times New Roman"/>
          <w:color w:val="000000"/>
          <w:sz w:val="24"/>
        </w:rPr>
        <w:t>The Buyer acknowledges that it will be necessary for the Seller to file this Agreement with the SEC and to make other public disclosures regarding the terms of this Agreement and payments made under this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its reports filed with the SEC, and the Seller agrees that it will provide the Buyer a reasonable opportunity to review and comment on any proposed redactions to the copy of this Agreement to be filed with the SEC.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9.3 </w:t>
      </w:r>
      <w:r>
        <w:rPr>
          <w:rFonts w:ascii="Times New Roman" w:hAnsi="Times New Roman"/>
          <w:color w:val="000000"/>
          <w:sz w:val="24"/>
          <w:u w:val="single"/>
        </w:rPr>
        <w:t>Use of Names</w:t>
      </w:r>
      <w:r>
        <w:rPr>
          <w:rFonts w:ascii="Times New Roman" w:hAnsi="Times New Roman"/>
          <w:color w:val="000000"/>
          <w:sz w:val="24"/>
        </w:rPr>
        <w:t>. Except as required by applicable law or as otherwise expressly permitted by this Agreement (including as a consequence of permitted disclosures pursuant to Section 9.2, neither Party (or any successor or permitted assign) will use the other Party’s nor any of its Affiliates’ (or, in the case of Buyer, any of the limited partners of Buyer) names or trademarks in any promotional materials or advertising without the prior written consent of the other party (or, in the case of Buyer’s limited partners, the prior written consent of such limited partner); provided, that each party and each party’s Affiliates may use the name and logo of the other party in connection with disclosing (a) the existence of this Agreement, (b) publicly announced information, or (c) any other disclosure as permitted under this Article 9, in each case ((a) through (c)), without the other party’s prior written consent.</w:t>
      </w:r>
    </w:p>
    <w:p>
      <w:pPr>
        <w:pStyle w:val="TextBody"/>
        <w:bidi w:val="0"/>
        <w:jc w:val="center"/>
        <w:rPr>
          <w:rFonts w:ascii="Times New Roman" w:hAnsi="Times New Roman"/>
          <w:caps/>
          <w:color w:val="010000"/>
          <w:sz w:val="24"/>
          <w:u w:val="single"/>
        </w:rPr>
      </w:pPr>
      <w:r>
        <w:rPr>
          <w:rFonts w:ascii="Times New Roman" w:hAnsi="Times New Roman"/>
          <w:caps/>
          <w:color w:val="010000"/>
          <w:sz w:val="24"/>
          <w:u w:val="single"/>
        </w:rPr>
        <w:t>ARTICLE 10</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TERMINATION</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10.1 </w:t>
      </w:r>
      <w:r>
        <w:rPr>
          <w:rFonts w:ascii="Times New Roman" w:hAnsi="Times New Roman"/>
          <w:color w:val="000000"/>
          <w:sz w:val="24"/>
          <w:u w:val="single"/>
        </w:rPr>
        <w:t>Term and Expiration; Surviving Payments</w:t>
      </w:r>
      <w:r>
        <w:rPr>
          <w:rFonts w:ascii="Times New Roman" w:hAnsi="Times New Roman"/>
          <w:color w:val="000000"/>
          <w:sz w:val="24"/>
        </w:rPr>
        <w:t>. Unless earlier terminated as provided in Section 10.2, this Agreement shall be effective as of the Effective Date and shall continue in full force and effect until the expiration of the Revenue Payment Term, at which time this Agreement shall automatically terminate, except in each case with respect to any rights or obligations that accrued or arose prior to such termination (including the right to receive any Revenue Payments).</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10.2 </w:t>
      </w:r>
      <w:r>
        <w:rPr>
          <w:rFonts w:ascii="Times New Roman" w:hAnsi="Times New Roman"/>
          <w:color w:val="000000"/>
          <w:sz w:val="24"/>
          <w:u w:val="single"/>
        </w:rPr>
        <w:t>Mutual Termination</w:t>
      </w:r>
      <w:r>
        <w:rPr>
          <w:rFonts w:ascii="Times New Roman" w:hAnsi="Times New Roman"/>
          <w:color w:val="000000"/>
          <w:sz w:val="24"/>
        </w:rPr>
        <w:t>. This Agreement may be terminated by mutual written agreement of the Buyer and the Seller.</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10.3 </w:t>
      </w:r>
      <w:r>
        <w:rPr>
          <w:rFonts w:ascii="Times New Roman" w:hAnsi="Times New Roman"/>
          <w:color w:val="000000"/>
          <w:sz w:val="24"/>
          <w:u w:val="single"/>
        </w:rPr>
        <w:t>Release of Liens</w:t>
      </w:r>
      <w:r>
        <w:rPr>
          <w:rFonts w:ascii="Times New Roman" w:hAnsi="Times New Roman"/>
          <w:color w:val="000000"/>
          <w:sz w:val="24"/>
        </w:rPr>
        <w:t>. Upon termination of this Agreement pursuant to the foregoing Section 10.1 or Section 10.2, all security interests and Liens granted hereunder shall automatically and immediately terminate, and all rights of the Buyer to the Revenue Participation Right, the Revenue Payments, the Back-Up Security Interest, and the APG777 Product Rights shall automatically and immediately revert to the Seller. In connection with any such termination and release of such security interests and Liens, the Buyer shall promptly provide such endorsements or proper documents and instruments (including UCC-3 termination statements or releases) reasonably requested by the Seller, acknowledging the termination hereof and the release of such security interests and Liens, including the Back-Up Security Interest.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10.4 </w:t>
      </w:r>
      <w:r>
        <w:rPr>
          <w:rFonts w:ascii="Times New Roman" w:hAnsi="Times New Roman"/>
          <w:color w:val="000000"/>
          <w:sz w:val="24"/>
          <w:u w:val="single"/>
        </w:rPr>
        <w:t>Survival</w:t>
      </w:r>
      <w:r>
        <w:rPr>
          <w:rFonts w:ascii="Times New Roman" w:hAnsi="Times New Roman"/>
          <w:color w:val="000000"/>
          <w:sz w:val="24"/>
        </w:rPr>
        <w:t>. Notwithstanding anything to the contrary in this ARTICLE 10, the following provisions shall survive termination of this Agreement pursuant to the foregoing Section 10.1 or Section 10.2: Section 7.4 (Inspections and Audits of the Seller) (provided the Buyer provides notice of any final audit no later than [ * * * ] following the Buyer’s receipt of the final Revenue Payment); Section 7.5(d) (Recovery); Section 7.12 (Late Payments); ARTICLE 8 (Indemnification); ARTICLE 9 (Confidentiality); Section 10.1 (Term and Expiration; Surviving Payments); Section 10.3 (Release of Liens), Section 10.4 (Survival); ARTICLE 11 (Miscellaneous) (other than Section 11.3), and ARTICLE 1 (Definitions) to the extent applicable to one of the foregoing surviving sections. Termination of this Agreement shall not relieve any party of liability in respect of breaches under this Agreement by any party on or prior to termination.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jc w:val="center"/>
        <w:rPr>
          <w:rFonts w:ascii="Times New Roman" w:hAnsi="Times New Roman"/>
          <w:caps/>
          <w:color w:val="010000"/>
          <w:sz w:val="24"/>
          <w:u w:val="single"/>
        </w:rPr>
      </w:pPr>
      <w:r>
        <w:rPr>
          <w:rFonts w:ascii="Times New Roman" w:hAnsi="Times New Roman"/>
          <w:caps/>
          <w:color w:val="010000"/>
          <w:sz w:val="24"/>
          <w:u w:val="single"/>
        </w:rPr>
        <w:t>ARTICLE 11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MISCELLANEOUS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11.1 </w:t>
      </w:r>
      <w:r>
        <w:rPr>
          <w:rFonts w:ascii="Times New Roman" w:hAnsi="Times New Roman"/>
          <w:color w:val="000000"/>
          <w:sz w:val="24"/>
          <w:u w:val="single"/>
        </w:rPr>
        <w:t>Notices</w:t>
      </w:r>
      <w:r>
        <w:rPr>
          <w:rFonts w:ascii="Times New Roman" w:hAnsi="Times New Roman"/>
          <w:color w:val="000000"/>
          <w:sz w:val="24"/>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11.1:</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If to the Seller, to it at</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Apogee Therapeutics, Inc.</w:t>
      </w:r>
    </w:p>
    <w:p>
      <w:pPr>
        <w:pStyle w:val="TextBody"/>
        <w:bidi w:val="0"/>
        <w:jc w:val="both"/>
        <w:rPr>
          <w:rFonts w:ascii="Times New Roman" w:hAnsi="Times New Roman"/>
          <w:color w:val="000000"/>
          <w:sz w:val="24"/>
        </w:rPr>
      </w:pPr>
      <w:r>
        <w:rPr>
          <w:rFonts w:ascii="Times New Roman" w:hAnsi="Times New Roman"/>
          <w:color w:val="000000"/>
          <w:sz w:val="24"/>
        </w:rPr>
        <w:t>One Letterman Drive, Building B 6th Floor</w:t>
      </w:r>
    </w:p>
    <w:p>
      <w:pPr>
        <w:pStyle w:val="TextBody"/>
        <w:bidi w:val="0"/>
        <w:jc w:val="both"/>
        <w:rPr>
          <w:rFonts w:ascii="Times New Roman" w:hAnsi="Times New Roman"/>
          <w:color w:val="000000"/>
          <w:sz w:val="24"/>
        </w:rPr>
      </w:pPr>
      <w:r>
        <w:rPr>
          <w:rFonts w:ascii="Times New Roman" w:hAnsi="Times New Roman"/>
          <w:color w:val="000000"/>
          <w:sz w:val="24"/>
        </w:rPr>
        <w:t>San Francisco, CA 94129</w:t>
      </w:r>
    </w:p>
    <w:p>
      <w:pPr>
        <w:pStyle w:val="TextBody"/>
        <w:bidi w:val="0"/>
        <w:jc w:val="both"/>
        <w:rPr>
          <w:rFonts w:ascii="Times New Roman" w:hAnsi="Times New Roman"/>
          <w:color w:val="000000"/>
          <w:sz w:val="24"/>
        </w:rPr>
      </w:pPr>
      <w:r>
        <w:rPr>
          <w:rFonts w:ascii="Times New Roman" w:hAnsi="Times New Roman"/>
          <w:color w:val="000000"/>
          <w:sz w:val="24"/>
        </w:rPr>
        <w:t>Attention: [ * * * ]</w:t>
      </w:r>
    </w:p>
    <w:p>
      <w:pPr>
        <w:pStyle w:val="TextBody"/>
        <w:bidi w:val="0"/>
        <w:jc w:val="both"/>
        <w:rPr>
          <w:rFonts w:ascii="Times New Roman" w:hAnsi="Times New Roman"/>
          <w:color w:val="000000"/>
          <w:sz w:val="24"/>
        </w:rPr>
      </w:pPr>
      <w:r>
        <w:rPr>
          <w:rFonts w:ascii="Times New Roman" w:hAnsi="Times New Roman"/>
          <w:color w:val="000000"/>
          <w:sz w:val="24"/>
        </w:rPr>
        <w:t>Email: [ * * * ]</w:t>
      </w:r>
    </w:p>
    <w:p>
      <w:pPr>
        <w:pStyle w:val="TextBody"/>
        <w:bidi w:val="0"/>
        <w:spacing w:before="240" w:after="240"/>
        <w:jc w:val="both"/>
        <w:rPr>
          <w:rFonts w:ascii="Times New Roman" w:hAnsi="Times New Roman"/>
          <w:sz w:val="20"/>
        </w:rPr>
      </w:pPr>
      <w:r>
        <w:rPr>
          <w:rFonts w:ascii="Times New Roman" w:hAnsi="Times New Roman"/>
          <w:color w:val="000000"/>
          <w:sz w:val="24"/>
          <w:u w:val="single"/>
        </w:rPr>
        <w:t>With a copy to (which will not constitute notice)</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Latham &amp; Watkins LLP</w:t>
      </w:r>
    </w:p>
    <w:p>
      <w:pPr>
        <w:pStyle w:val="TextBody"/>
        <w:bidi w:val="0"/>
        <w:jc w:val="both"/>
        <w:rPr>
          <w:rFonts w:ascii="Times New Roman" w:hAnsi="Times New Roman"/>
          <w:color w:val="000000"/>
          <w:sz w:val="24"/>
        </w:rPr>
      </w:pPr>
      <w:r>
        <w:rPr>
          <w:rFonts w:ascii="Times New Roman" w:hAnsi="Times New Roman"/>
          <w:color w:val="000000"/>
          <w:sz w:val="24"/>
        </w:rPr>
        <w:t>505 Montgomery Street</w:t>
      </w:r>
    </w:p>
    <w:p>
      <w:pPr>
        <w:pStyle w:val="TextBody"/>
        <w:bidi w:val="0"/>
        <w:jc w:val="both"/>
        <w:rPr>
          <w:rFonts w:ascii="Times New Roman" w:hAnsi="Times New Roman"/>
          <w:color w:val="000000"/>
          <w:sz w:val="24"/>
        </w:rPr>
      </w:pPr>
      <w:r>
        <w:rPr>
          <w:rFonts w:ascii="Times New Roman" w:hAnsi="Times New Roman"/>
          <w:color w:val="000000"/>
          <w:sz w:val="24"/>
        </w:rPr>
        <w:t>San Francisco, California 94111</w:t>
      </w:r>
    </w:p>
    <w:p>
      <w:pPr>
        <w:pStyle w:val="TextBody"/>
        <w:bidi w:val="0"/>
        <w:jc w:val="both"/>
        <w:rPr>
          <w:rFonts w:ascii="Times New Roman" w:hAnsi="Times New Roman"/>
          <w:color w:val="000000"/>
          <w:sz w:val="24"/>
        </w:rPr>
      </w:pPr>
      <w:r>
        <w:rPr>
          <w:rFonts w:ascii="Times New Roman" w:hAnsi="Times New Roman"/>
          <w:color w:val="000000"/>
          <w:sz w:val="24"/>
        </w:rPr>
        <w:t>Attention: [ * * * ]</w:t>
      </w:r>
    </w:p>
    <w:p>
      <w:pPr>
        <w:pStyle w:val="TextBody"/>
        <w:bidi w:val="0"/>
        <w:jc w:val="both"/>
        <w:rPr>
          <w:rFonts w:ascii="Times New Roman" w:hAnsi="Times New Roman"/>
          <w:color w:val="000000"/>
          <w:sz w:val="24"/>
        </w:rPr>
      </w:pPr>
      <w:r>
        <w:rPr>
          <w:rFonts w:ascii="Times New Roman" w:hAnsi="Times New Roman"/>
          <w:color w:val="000000"/>
          <w:sz w:val="24"/>
        </w:rPr>
        <w:t>Email: [ * * * ]</w:t>
      </w:r>
    </w:p>
    <w:p>
      <w:pPr>
        <w:pStyle w:val="TextBody"/>
        <w:bidi w:val="0"/>
        <w:spacing w:before="240" w:after="240"/>
        <w:jc w:val="both"/>
        <w:rPr>
          <w:rFonts w:ascii="Times New Roman" w:hAnsi="Times New Roman"/>
          <w:sz w:val="20"/>
        </w:rPr>
      </w:pPr>
      <w:r>
        <w:rPr>
          <w:rFonts w:ascii="Times New Roman" w:hAnsi="Times New Roman"/>
          <w:color w:val="000000"/>
          <w:sz w:val="24"/>
          <w:u w:val="single"/>
        </w:rPr>
        <w:t>If to the Buyer, to it at</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Annapurna Aggregator L.P.</w:t>
      </w:r>
    </w:p>
    <w:p>
      <w:pPr>
        <w:pStyle w:val="TextBody"/>
        <w:bidi w:val="0"/>
        <w:jc w:val="both"/>
        <w:rPr>
          <w:rFonts w:ascii="Times New Roman" w:hAnsi="Times New Roman"/>
          <w:color w:val="000000"/>
          <w:sz w:val="24"/>
        </w:rPr>
      </w:pPr>
      <w:r>
        <w:rPr>
          <w:rFonts w:ascii="Times New Roman" w:hAnsi="Times New Roman"/>
          <w:color w:val="000000"/>
          <w:sz w:val="24"/>
        </w:rPr>
        <w:t>c/o Blackstone Life Sciences</w:t>
      </w:r>
    </w:p>
    <w:p>
      <w:pPr>
        <w:pStyle w:val="TextBody"/>
        <w:bidi w:val="0"/>
        <w:jc w:val="both"/>
        <w:rPr>
          <w:rFonts w:ascii="Times New Roman" w:hAnsi="Times New Roman"/>
          <w:sz w:val="20"/>
        </w:rPr>
      </w:pPr>
      <w:r>
        <w:rPr>
          <w:rFonts w:ascii="Times New Roman" w:hAnsi="Times New Roman"/>
          <w:color w:val="000000"/>
          <w:sz w:val="24"/>
        </w:rPr>
        <w:t>314 Main Street, 15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both"/>
        <w:rPr>
          <w:rFonts w:ascii="Times New Roman" w:hAnsi="Times New Roman"/>
          <w:color w:val="000000"/>
          <w:sz w:val="24"/>
        </w:rPr>
      </w:pPr>
      <w:r>
        <w:rPr>
          <w:rFonts w:ascii="Times New Roman" w:hAnsi="Times New Roman"/>
          <w:color w:val="000000"/>
          <w:sz w:val="24"/>
        </w:rPr>
        <w:t>Cambridge, MA 02142</w:t>
      </w:r>
    </w:p>
    <w:p>
      <w:pPr>
        <w:pStyle w:val="TextBody"/>
        <w:bidi w:val="0"/>
        <w:jc w:val="both"/>
        <w:rPr>
          <w:rFonts w:ascii="Times New Roman" w:hAnsi="Times New Roman"/>
          <w:color w:val="000000"/>
          <w:sz w:val="24"/>
        </w:rPr>
      </w:pPr>
      <w:r>
        <w:rPr>
          <w:rFonts w:ascii="Times New Roman" w:hAnsi="Times New Roman"/>
          <w:color w:val="000000"/>
          <w:sz w:val="24"/>
        </w:rPr>
        <w:t>Attention: [ * *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 * * *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With a copy to (which will not constitute notice)</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Blackstone Life Sciences</w:t>
      </w:r>
    </w:p>
    <w:p>
      <w:pPr>
        <w:pStyle w:val="TextBody"/>
        <w:bidi w:val="0"/>
        <w:jc w:val="both"/>
        <w:rPr>
          <w:rFonts w:ascii="Times New Roman" w:hAnsi="Times New Roman"/>
          <w:sz w:val="20"/>
        </w:rPr>
      </w:pPr>
      <w:r>
        <w:rPr>
          <w:rFonts w:ascii="Times New Roman" w:hAnsi="Times New Roman"/>
          <w:color w:val="000000"/>
          <w:sz w:val="24"/>
        </w:rPr>
        <w:t>314 Main Street, 15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both"/>
        <w:rPr>
          <w:rFonts w:ascii="Times New Roman" w:hAnsi="Times New Roman"/>
          <w:color w:val="000000"/>
          <w:sz w:val="24"/>
        </w:rPr>
      </w:pPr>
      <w:r>
        <w:rPr>
          <w:rFonts w:ascii="Times New Roman" w:hAnsi="Times New Roman"/>
          <w:color w:val="000000"/>
          <w:sz w:val="24"/>
        </w:rPr>
        <w:t>Cambridge, MA 02142</w:t>
      </w:r>
    </w:p>
    <w:p>
      <w:pPr>
        <w:pStyle w:val="TextBody"/>
        <w:bidi w:val="0"/>
        <w:jc w:val="both"/>
        <w:rPr>
          <w:rFonts w:ascii="Times New Roman" w:hAnsi="Times New Roman"/>
          <w:color w:val="000000"/>
          <w:sz w:val="24"/>
        </w:rPr>
      </w:pPr>
      <w:r>
        <w:rPr>
          <w:rFonts w:ascii="Times New Roman" w:hAnsi="Times New Roman"/>
          <w:color w:val="000000"/>
          <w:sz w:val="24"/>
        </w:rPr>
        <w:t>Attention: [ * * * ]</w:t>
      </w:r>
    </w:p>
    <w:p>
      <w:pPr>
        <w:pStyle w:val="TextBody"/>
        <w:bidi w:val="0"/>
        <w:jc w:val="both"/>
        <w:rPr>
          <w:rFonts w:ascii="Times New Roman" w:hAnsi="Times New Roman"/>
          <w:color w:val="000000"/>
          <w:sz w:val="24"/>
        </w:rPr>
      </w:pPr>
      <w:r>
        <w:rPr>
          <w:rFonts w:ascii="Times New Roman" w:hAnsi="Times New Roman"/>
          <w:color w:val="000000"/>
          <w:sz w:val="24"/>
        </w:rPr>
        <w:t>Email: [ * * *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-and-</w:t>
      </w:r>
    </w:p>
    <w:p>
      <w:pPr>
        <w:pStyle w:val="TextBody"/>
        <w:bidi w:val="0"/>
        <w:jc w:val="both"/>
        <w:rPr>
          <w:rFonts w:ascii="Times New Roman" w:hAnsi="Times New Roman"/>
          <w:color w:val="000000"/>
          <w:sz w:val="24"/>
        </w:rPr>
      </w:pPr>
      <w:r>
        <w:rPr>
          <w:rFonts w:ascii="Times New Roman" w:hAnsi="Times New Roman"/>
          <w:color w:val="000000"/>
          <w:sz w:val="24"/>
        </w:rPr>
        <w:t>Ropes &amp; Gray LLP</w:t>
      </w:r>
    </w:p>
    <w:p>
      <w:pPr>
        <w:pStyle w:val="TextBody"/>
        <w:bidi w:val="0"/>
        <w:jc w:val="both"/>
        <w:rPr>
          <w:rFonts w:ascii="Times New Roman" w:hAnsi="Times New Roman"/>
          <w:color w:val="000000"/>
          <w:sz w:val="24"/>
        </w:rPr>
      </w:pPr>
      <w:r>
        <w:rPr>
          <w:rFonts w:ascii="Times New Roman" w:hAnsi="Times New Roman"/>
          <w:color w:val="000000"/>
          <w:sz w:val="24"/>
        </w:rPr>
        <w:t>800 Boylston Street</w:t>
      </w:r>
    </w:p>
    <w:p>
      <w:pPr>
        <w:pStyle w:val="TextBody"/>
        <w:bidi w:val="0"/>
        <w:jc w:val="both"/>
        <w:rPr>
          <w:rFonts w:ascii="Times New Roman" w:hAnsi="Times New Roman"/>
          <w:color w:val="000000"/>
          <w:sz w:val="24"/>
        </w:rPr>
      </w:pPr>
      <w:r>
        <w:rPr>
          <w:rFonts w:ascii="Times New Roman" w:hAnsi="Times New Roman"/>
          <w:color w:val="000000"/>
          <w:sz w:val="24"/>
        </w:rPr>
        <w:t>Boston, MA 02199</w:t>
      </w:r>
    </w:p>
    <w:p>
      <w:pPr>
        <w:pStyle w:val="TextBody"/>
        <w:bidi w:val="0"/>
        <w:jc w:val="both"/>
        <w:rPr>
          <w:rFonts w:ascii="Times New Roman" w:hAnsi="Times New Roman"/>
          <w:color w:val="000000"/>
          <w:sz w:val="24"/>
        </w:rPr>
      </w:pPr>
      <w:r>
        <w:rPr>
          <w:rFonts w:ascii="Times New Roman" w:hAnsi="Times New Roman"/>
          <w:color w:val="000000"/>
          <w:sz w:val="24"/>
        </w:rPr>
        <w:t>Attention: [ * * * ]</w:t>
      </w:r>
    </w:p>
    <w:p>
      <w:pPr>
        <w:pStyle w:val="TextBody"/>
        <w:bidi w:val="0"/>
        <w:jc w:val="both"/>
        <w:rPr>
          <w:rFonts w:ascii="Times New Roman" w:hAnsi="Times New Roman"/>
          <w:color w:val="000000"/>
          <w:sz w:val="24"/>
        </w:rPr>
      </w:pPr>
      <w:r>
        <w:rPr>
          <w:rFonts w:ascii="Times New Roman" w:hAnsi="Times New Roman"/>
          <w:color w:val="000000"/>
          <w:sz w:val="24"/>
        </w:rPr>
        <w:t>Email: [ * * *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All notices and communications under this Agreement shall be deemed to have been duly given (i) when delivered by hand, if personally delivered, (ii) when received by a recipient, if sent by email, with an acknowledgement of receipt being produced by the recipient’s email account, or (iii) [ * * * ] following sending within the United States by overnight delivery via commercial one-day overnight courier service.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11.2 </w:t>
      </w:r>
      <w:r>
        <w:rPr>
          <w:rFonts w:ascii="Times New Roman" w:hAnsi="Times New Roman"/>
          <w:color w:val="000000"/>
          <w:sz w:val="24"/>
          <w:u w:val="single"/>
        </w:rPr>
        <w:t>Expenses</w:t>
      </w:r>
      <w:r>
        <w:rPr>
          <w:rFonts w:ascii="Times New Roman" w:hAnsi="Times New Roman"/>
          <w:color w:val="000000"/>
          <w:sz w:val="24"/>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11.3 </w:t>
      </w:r>
      <w:r>
        <w:rPr>
          <w:rFonts w:ascii="Times New Roman" w:hAnsi="Times New Roman"/>
          <w:color w:val="000000"/>
          <w:sz w:val="24"/>
          <w:u w:val="single"/>
        </w:rPr>
        <w:t>Assignment; Transfer Restrictions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(a) </w:t>
      </w:r>
      <w:r>
        <w:rPr>
          <w:rFonts w:ascii="Times New Roman" w:hAnsi="Times New Roman"/>
          <w:color w:val="000000"/>
          <w:sz w:val="24"/>
        </w:rPr>
        <w:t>Neither the Seller nor any of its Affiliates shall sell, assign or otherwise transfer, including by asset sale, merger, change of control, operation of law, or otherwise, this Agreement or any portion of the APG777 Product Rights to any Person without the prior written consent of the Buyer (not to be unreasonably conditioned, withheld or delayed) except (i) to an Affiliate if such Affiliate transferee agrees in a writing reasonably acceptable to the Buyer that such Affiliate assumes all of the obligations of the Seller to the Buyer under the Transaction Documents and the Seller guarantees the performance of such Affiliate or (ii) in connection with a Change of Control (subject to the last sentence of this paragraph). Further, the Seller and its Affiliates shall be permitted to assign all or substantially all of the APG777 Product Rights to a Permitted Transferee if such Permitted Transferee agrees in a writing reasonably acceptable to the Buyer that it assumes all of the obligations of the Seller related to APG777 to the Buyer under this Agreement. For clarity, nothing in this Section 11.3 shall prohibit any Out-Licenses permitted by and entered into in accordance with Section 7.7, or the grant of a Lien on the APG777 Product Rights (or any “proceeds” (as defined in the UCC) thereof) in connection with Senior Debt or an Additional Monetization incurred in accordance with Section 7.13. In connection with any Change of Control of the Seller, (i) the Buyer shall cooperate with the Seller to transfer the Transaction Documents and the obligation to make the Revenue Payments to any acquiror and (ii) the Seller shall cause the ultimate parent of such acquiror to agree to perform all the required obligations under the Transaction Documents and the obligation to make the Revenue Payments under the Transaction Documents, following the sale, assignment or other transfer of this Agreement or any portion of the APG777 Product Rights, pursuant to documentation reasonably acceptable to the Seller and such acquiror.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(b) </w:t>
      </w:r>
      <w:r>
        <w:rPr>
          <w:rFonts w:ascii="Times New Roman" w:hAnsi="Times New Roman"/>
          <w:color w:val="000000"/>
          <w:sz w:val="24"/>
        </w:rPr>
        <w:t>The Buyer may assign its rights under this Agreement, in whole or in part (subject to the Seller being obligated to solely deal with the Buyer for future Revenue Payments and all other rights of the Buyer hereunder unless otherwise agreed in writing by the Parties), without the prior written consent of the Seller if the Buyer provides a prior written notice to the Seller regarding such assignment. The Buyer may not assign its obligations under this Agreement except to (x) an Affiliate with sufficient resources to perform the obligations of the Buyer hereunder, and for which Buyer has provided to Seller evidence of such resources reasonably acceptable to Seller, (y) any Person so long as the Buyer remains liable for such obligations, or (z) any Person with the prior written consent of the Seller (not to be unreasonably withheld, conditioned or delayed).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(c) </w:t>
      </w:r>
      <w:r>
        <w:rPr>
          <w:rFonts w:ascii="Times New Roman" w:hAnsi="Times New Roman"/>
          <w:color w:val="000000"/>
          <w:sz w:val="24"/>
        </w:rPr>
        <w:t>A party assigning this Agreement as set forth in this Section 11.3 will promptly notify the other party of such assignment.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(d) </w:t>
      </w:r>
      <w:r>
        <w:rPr>
          <w:rFonts w:ascii="Times New Roman" w:hAnsi="Times New Roman"/>
          <w:color w:val="000000"/>
          <w:sz w:val="24"/>
        </w:rPr>
        <w:t>Any purported sale, assignment or transfer in violation of this Section 11.3 shall be null and void.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binding upon, inure to the benefit of and be enforceable by, the parties hereto and their respective permitted successors and assigns.</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11.4 </w:t>
      </w:r>
      <w:r>
        <w:rPr>
          <w:rFonts w:ascii="Times New Roman" w:hAnsi="Times New Roman"/>
          <w:color w:val="000000"/>
          <w:sz w:val="24"/>
          <w:u w:val="single"/>
        </w:rPr>
        <w:t>Amendment and Waiver</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(a) </w:t>
      </w:r>
      <w:r>
        <w:rPr>
          <w:rFonts w:ascii="Times New Roman" w:hAnsi="Times New Roman"/>
          <w:color w:val="000000"/>
          <w:sz w:val="24"/>
        </w:rPr>
        <w:t>This Agreement may be amended, restated, modified or supplemented only in a writing signed by each of the Seller and the Buyer. Any provision of this Agreement may be waived only in a writing signed by the parties hereto granting such waiver.</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(b) </w:t>
      </w:r>
      <w:r>
        <w:rPr>
          <w:rFonts w:ascii="Times New Roman" w:hAnsi="Times New Roman"/>
          <w:color w:val="000000"/>
          <w:sz w:val="24"/>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11.5 </w:t>
      </w:r>
      <w:r>
        <w:rPr>
          <w:rFonts w:ascii="Times New Roman" w:hAnsi="Times New Roman"/>
          <w:color w:val="000000"/>
          <w:sz w:val="24"/>
          <w:u w:val="single"/>
        </w:rPr>
        <w:t>Entire Agreement</w:t>
      </w:r>
      <w:r>
        <w:rPr>
          <w:rFonts w:ascii="Times New Roman" w:hAnsi="Times New Roman"/>
          <w:color w:val="000000"/>
          <w:sz w:val="24"/>
        </w:rPr>
        <w:t>. This Agreement, the Exhibits annexed hereto, the Disclosure Schedule and the other Transaction Documents constitute the entire understanding between the parties hereto with respect to the subject matter hereof and supersede all other understandings and negotiations with respect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11.6 </w:t>
      </w:r>
      <w:r>
        <w:rPr>
          <w:rFonts w:ascii="Times New Roman" w:hAnsi="Times New Roman"/>
          <w:color w:val="000000"/>
          <w:sz w:val="24"/>
          <w:u w:val="single"/>
        </w:rPr>
        <w:t>No Third Party Beneficiaries</w:t>
      </w:r>
      <w:r>
        <w:rPr>
          <w:rFonts w:ascii="Times New Roman" w:hAnsi="Times New Roman"/>
          <w:color w:val="000000"/>
          <w:sz w:val="24"/>
        </w:rPr>
        <w:t>.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ARTICLE 8.</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11.7 </w:t>
      </w:r>
      <w:r>
        <w:rPr>
          <w:rFonts w:ascii="Times New Roman" w:hAnsi="Times New Roman"/>
          <w:color w:val="000000"/>
          <w:sz w:val="24"/>
          <w:u w:val="single"/>
        </w:rPr>
        <w:t>Governing Law</w:t>
      </w:r>
      <w:r>
        <w:rPr>
          <w:rFonts w:ascii="Times New Roman" w:hAnsi="Times New Roman"/>
          <w:color w:val="000000"/>
          <w:sz w:val="24"/>
        </w:rPr>
        <w:t>. THIS AGREEMENT SHALL BE GOVERNED BY, AND CONSTRUED IN ACCORDANCE WITH, THE LAWS OF THE STATE OF NEW YORK WITHOUT GIVING EFFECT TO ANY CHOICE OR CONFLICT OF LAW PROVISION OR RULE THAT WOULD CAUSE THE APPLICATION OF THE LAWS OF ANY OTHER JURISDICTION.</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11.8 </w:t>
      </w:r>
      <w:r>
        <w:rPr>
          <w:rFonts w:ascii="Times New Roman" w:hAnsi="Times New Roman"/>
          <w:color w:val="000000"/>
          <w:sz w:val="24"/>
          <w:u w:val="single"/>
        </w:rPr>
        <w:t>Jurisdiction; Venue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(a) </w:t>
      </w:r>
      <w:r>
        <w:rPr>
          <w:rFonts w:ascii="Times New Roman" w:hAnsi="Times New Roman"/>
          <w:color w:val="000000"/>
          <w:sz w:val="24"/>
        </w:rPr>
        <w:t>EACH OF THE PARTIES HERETO HEREBY IRREVOCABLY AND UNCONDITIONALLY SUBMITS, FOR ITSELF AND ITS RESPECTIVE PROPERTY AND ASSETS, TO THE EXCLUSIVE JURISDICTION OF THE COURTS IN THE STATE OF NEW YORK SITTING IN THE BOROUGH OF MANHATTAN, AND OF THE UNITED STATES DISTRICT COURT OF THE SOUTHERN DISTRICT OF MANHATTAN, AND ANY APPELLATE COURT THEREOF, IN ANY ACTION OR PROCEEDING ARISING OUT OF OR RELATING TO THIS AGREEMENT, OR FOR RECOGNITION OR ENFORCEMENT OF ANY JUDGMENT IN RESPECT THEREOF, AND THE BUYER AND THE SELLER EACH HEREBY IRREVOCABLY AND UNCONDITIONALLY AGREE THAT ALL CLAIMS IN RESPECT OF ANY SUCH ACTION OR PROCEEDING MAY BE HEARD AND DETERMINED IN ANY SUCH NEW YORK STATE COURT OR, TO THE FULLEST EXTENT PERMITTED BY APPLICABLE LAW, IN SUCH FEDERAL COURT. THE BUYER AND THE SELLER EACH HEREBY AGREE THAT A FINAL JUDGMENT IN ANY SUCH ACTION OR PROCEEDING SHALL BE CONCLUSIVE AND MAY BE ENFORCED IN OTHER JURISDICTIONS BY SUIT ON THE JUDGMENT OR IN ANY OTHER MANNER PROVIDED BY APPLICABLE LAW. EACH OF THE BUYER AND THE SELLER HEREBY SUBMITS TO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EXCLUSIVE PERSONAL JURISDICTION AND VENUE OF SUCH NEW YORK STATE AND FEDERAL COURTS. NOTHING IN THIS AGREEMENT OR IN ANY OTHER TRANSACTION DOCUMENT SHALL AFFECT ANY RIGHT THAT THE BUYER MAY OTHERWISE HAVE TO BRING ANY ACTION OR PROCEEDING RELATING TO THIS AGREEMENT OR ANY OTHER TRANSACTION DOCUMENT AGAINST THE SELLER OR ITS AFFILIATES OR ITS OR THEIR PROPERTIES IN THE COURTS OF ANY JURISDICTION. THE BUYER AND THE SELLER EACH AGREE, TO THE FULLEST EXTENT PERMITTED BY APPLICABLE LAW, THAT PROCESS MAY BE SERVED ON THE BUYER OR THE SELLER IN THE SAME MANNER THAT NOTICES MAY BE GIVEN PURSUANT TO </w:t>
      </w:r>
      <w:r>
        <w:rPr>
          <w:rFonts w:ascii="Times New Roman" w:hAnsi="Times New Roman"/>
          <w:caps/>
          <w:color w:val="000000"/>
          <w:sz w:val="24"/>
        </w:rPr>
        <w:t>Section 11.1</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(b) </w:t>
      </w:r>
      <w:r>
        <w:rPr>
          <w:rFonts w:ascii="Times New Roman" w:hAnsi="Times New Roman"/>
          <w:color w:val="000000"/>
          <w:sz w:val="24"/>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aps/>
          <w:color w:val="010000"/>
          <w:sz w:val="24"/>
        </w:rPr>
        <w:t xml:space="preserve">(c) </w:t>
      </w:r>
      <w:r>
        <w:rPr>
          <w:rFonts w:ascii="Times New Roman" w:hAnsi="Times New Roman"/>
          <w:b/>
          <w:caps/>
          <w:color w:val="000000"/>
          <w:sz w:val="24"/>
        </w:rPr>
        <w:t>Each party hereto irrevocably and unconditionally waives any right to trial by jury with respect to any proceeding arising out of, relating to or in connection with this Agreement or any transaction contemplated hereby.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11.9 </w:t>
      </w:r>
      <w:r>
        <w:rPr>
          <w:rFonts w:ascii="Times New Roman" w:hAnsi="Times New Roman"/>
          <w:color w:val="000000"/>
          <w:sz w:val="24"/>
          <w:u w:val="single"/>
        </w:rPr>
        <w:t>Severability</w:t>
      </w:r>
      <w:r>
        <w:rPr>
          <w:rFonts w:ascii="Times New Roman" w:hAnsi="Times New Roman"/>
          <w:color w:val="000000"/>
          <w:sz w:val="24"/>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11.10 </w:t>
      </w:r>
      <w:r>
        <w:rPr>
          <w:rFonts w:ascii="Times New Roman" w:hAnsi="Times New Roman"/>
          <w:color w:val="000000"/>
          <w:sz w:val="24"/>
          <w:u w:val="single"/>
        </w:rPr>
        <w:t>Specific Performance</w:t>
      </w:r>
      <w:r>
        <w:rPr>
          <w:rFonts w:ascii="Times New Roman" w:hAnsi="Times New Roman"/>
          <w:color w:val="000000"/>
          <w:sz w:val="24"/>
        </w:rPr>
        <w:t>. Each of the parties acknowledges and agrees that the other party may be damaged irreparably in the event any of the provisions of this Agreement are not performed in accordance with their specific terms or otherwise are breached or violated. Accordingly, notwithstanding Section 8.5, each of the parties agrees that, without posting bond or other undertaking, the other party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shall not assert that the defense that a remedy at law would be adequate.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11.11 </w:t>
      </w: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telecopy, facsimile or other similar means of electronic transmission, including “PDF,” shall be considered original executed counterparts, provided receipt of such counterparts is confirmed.</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Section 11.12 </w:t>
      </w:r>
      <w:r>
        <w:rPr>
          <w:rFonts w:ascii="Times New Roman" w:hAnsi="Times New Roman"/>
          <w:color w:val="000000"/>
          <w:sz w:val="24"/>
          <w:u w:val="single"/>
        </w:rPr>
        <w:t>Relationship of the Parties; Tax Treatment; Cooperation</w:t>
      </w:r>
      <w:r>
        <w:rPr>
          <w:rFonts w:ascii="Times New Roman" w:hAnsi="Times New Roman"/>
          <w:color w:val="000000"/>
          <w:sz w:val="24"/>
        </w:rPr>
        <w:t>. The relationship between the Buyer and the Seller is solely that of purchaser 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acknowledge and agree that the Buyer’s interests hereunder (including the Revenue Participation Right) are not equity interests. For all federal, state and local Tax purposes, the Buyer and the Seller agree (i) to treat the transactions contemplated by this Agreement as a sale of the Revenue Participation Right and in accordance therewith to treat the payment of the Purchase Price by the Buyer to the Seller as received by the Seller in a taxable transaction, and (ii) to not treat the Revenue Payments or any other payments made to the Buyer hereunder as royalties or as fees for services. Neither the Buyer nor the Seller shall take or permit any position that is inconsistent with this Section 11.12 in any filing with any Governmental Entity or any audit or other tax-related administrative or judicial proceeding unless the other party hereto has consented in writing to such actions or except as otherwise required pursuant to a “determination,” within the meaning of Section 1313(a) of the US Code, or a comparable provision of non-U.S. law. If there is an inquiry by any Governmental Entity of the Buyer or the Seller related to the treatment described in this Section 11.12, the Parties shall cooperate with each other in responding to such inquiry in a reasonable manner that is consistent with this Section 11.12.</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caused this Agreement to be executed and delivered by their respective representatives thereunto duly authorized as of the date first above written.</w:t>
      </w:r>
    </w:p>
    <w:p>
      <w:pPr>
        <w:pStyle w:val="TextBody"/>
        <w:bidi w:val="0"/>
        <w:jc w:val="both"/>
        <w:rPr/>
      </w:pPr>
      <w:r>
        <w:rPr/>
        <w:t> </w:t>
      </w:r>
    </w:p>
    <w:tbl>
      <w:tblPr>
        <w:tblW w:w="3662" w:type="dxa"/>
        <w:jc w:val="left"/>
        <w:tblInd w:w="0" w:type="dxa"/>
        <w:tblLayout w:type="fixed"/>
        <w:tblCellMar>
          <w:top w:w="28" w:type="dxa"/>
          <w:left w:w="28" w:type="dxa"/>
          <w:bottom w:w="28" w:type="dxa"/>
          <w:right w:w="28" w:type="dxa"/>
        </w:tblCellMar>
      </w:tblPr>
      <w:tblGrid>
        <w:gridCol w:w="751"/>
        <w:gridCol w:w="2911"/>
      </w:tblGrid>
      <w:tr>
        <w:trPr/>
        <w:tc>
          <w:tcPr>
            <w:tcW w:w="75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6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w:t>
            </w:r>
          </w:p>
        </w:tc>
      </w:tr>
      <w:tr>
        <w:trPr/>
        <w:tc>
          <w:tcPr>
            <w:tcW w:w="3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APOGEE THERAPEUTICS, INC.</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Henderson, M.D.</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Henderson, M.D.</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Chief Executive Officer </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to Revenue Participation Right Purchase and Sale Agreement]</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caused this Agreement to be executed and delivered by their respective representatives thereunto duly authorized as of the date first above written.</w:t>
      </w:r>
    </w:p>
    <w:p>
      <w:pPr>
        <w:pStyle w:val="TextBody"/>
        <w:bidi w:val="0"/>
        <w:jc w:val="both"/>
        <w:rPr/>
      </w:pPr>
      <w:r>
        <w:rPr/>
        <w:t> </w:t>
      </w:r>
    </w:p>
    <w:tbl>
      <w:tblPr>
        <w:tblW w:w="8565" w:type="dxa"/>
        <w:jc w:val="left"/>
        <w:tblInd w:w="0" w:type="dxa"/>
        <w:tblLayout w:type="fixed"/>
        <w:tblCellMar>
          <w:top w:w="28" w:type="dxa"/>
          <w:left w:w="28" w:type="dxa"/>
          <w:bottom w:w="28" w:type="dxa"/>
          <w:right w:w="28" w:type="dxa"/>
        </w:tblCellMar>
      </w:tblPr>
      <w:tblGrid>
        <w:gridCol w:w="2031"/>
        <w:gridCol w:w="6534"/>
      </w:tblGrid>
      <w:tr>
        <w:trPr/>
        <w:tc>
          <w:tcPr>
            <w:tcW w:w="2031" w:type="dxa"/>
            <w:tcBorders/>
            <w:vAlign w:val="center"/>
          </w:tcPr>
          <w:p>
            <w:pPr>
              <w:pStyle w:val="TableContents"/>
              <w:bidi w:val="0"/>
              <w:spacing w:before="0" w:after="283"/>
              <w:jc w:val="left"/>
              <w:rPr>
                <w:sz w:val="4"/>
                <w:szCs w:val="4"/>
              </w:rPr>
            </w:pPr>
            <w:r>
              <w:rPr>
                <w:sz w:val="4"/>
                <w:szCs w:val="4"/>
              </w:rPr>
            </w:r>
          </w:p>
        </w:tc>
        <w:tc>
          <w:tcPr>
            <w:tcW w:w="6534" w:type="dxa"/>
            <w:tcBorders/>
            <w:vAlign w:val="center"/>
          </w:tcPr>
          <w:p>
            <w:pPr>
              <w:pStyle w:val="TableContents"/>
              <w:bidi w:val="0"/>
              <w:spacing w:before="0" w:after="283"/>
              <w:jc w:val="left"/>
              <w:rPr>
                <w:sz w:val="4"/>
                <w:szCs w:val="4"/>
              </w:rPr>
            </w:pPr>
            <w:r>
              <w:rPr>
                <w:sz w:val="4"/>
                <w:szCs w:val="4"/>
              </w:rPr>
            </w:r>
          </w:p>
        </w:tc>
      </w:tr>
      <w:tr>
        <w:trPr/>
        <w:tc>
          <w:tcPr>
            <w:tcW w:w="8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BUYER</w:t>
            </w:r>
          </w:p>
        </w:tc>
      </w:tr>
      <w:tr>
        <w:trPr/>
        <w:tc>
          <w:tcPr>
            <w:tcW w:w="85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4"/>
              </w:rPr>
            </w:pPr>
            <w:r>
              <w:rPr>
                <w:rFonts w:ascii="Times New Roman" w:hAnsi="Times New Roman"/>
                <w:caps/>
                <w:color w:val="000000"/>
                <w:sz w:val="24"/>
              </w:rPr>
              <w:t>Annapurna Aggregator L.P.</w:t>
            </w:r>
          </w:p>
        </w:tc>
      </w:tr>
      <w:tr>
        <w:trPr/>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Blackstone Life Sciences Advisors L.L.C., on behalf of Annapurna Aggregator L.P.</w:t>
            </w:r>
          </w:p>
        </w:tc>
      </w:tr>
      <w:tr>
        <w:trPr/>
        <w:tc>
          <w:tcPr>
            <w:tcW w:w="85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653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Robert Liptak</w:t>
            </w:r>
          </w:p>
        </w:tc>
      </w:tr>
      <w:tr>
        <w:trPr/>
        <w:tc>
          <w:tcPr>
            <w:tcW w:w="2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65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Robert Liptak</w:t>
            </w:r>
          </w:p>
        </w:tc>
      </w:tr>
      <w:tr>
        <w:trPr/>
        <w:tc>
          <w:tcPr>
            <w:tcW w:w="2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65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Chief Operating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Payment Instructions</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Bill of Sale</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Senior Debt Intercreditor Agreement</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Clinical Trial Success Criteria</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jc w:val="center"/>
        <w:rPr>
          <w:rFonts w:ascii="Times New Roman" w:hAnsi="Times New Roman"/>
          <w:b/>
          <w:color w:val="000000"/>
          <w:sz w:val="24"/>
        </w:rPr>
      </w:pPr>
      <w:r>
        <w:rPr>
          <w:rFonts w:ascii="Times New Roman" w:hAnsi="Times New Roman"/>
          <w:b/>
          <w:color w:val="000000"/>
          <w:sz w:val="24"/>
        </w:rPr>
        <w:t>Revenue Percentage Schedule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42"/>
        <w:gridCol w:w="2190"/>
        <w:gridCol w:w="2508"/>
        <w:gridCol w:w="2565"/>
      </w:tblGrid>
      <w:tr>
        <w:trPr/>
        <w:tc>
          <w:tcPr>
            <w:tcW w:w="2942"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ind w:left="0" w:right="0" w:firstLine="72"/>
              <w:jc w:val="left"/>
              <w:rPr>
                <w:sz w:val="4"/>
                <w:szCs w:val="4"/>
              </w:rPr>
            </w:pPr>
            <w:r>
              <w:rPr>
                <w:sz w:val="4"/>
                <w:szCs w:val="4"/>
              </w:rPr>
            </w:r>
          </w:p>
        </w:tc>
      </w:tr>
      <w:tr>
        <w:trPr/>
        <w:tc>
          <w:tcPr>
            <w:tcW w:w="2942"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40" w:after="283"/>
              <w:ind w:left="0" w:right="0" w:firstLine="72"/>
              <w:jc w:val="center"/>
              <w:rPr>
                <w:rFonts w:ascii="Times New Roman" w:hAnsi="Times New Roman"/>
                <w:color w:val="000000"/>
                <w:sz w:val="24"/>
              </w:rPr>
            </w:pPr>
            <w:r>
              <w:rPr>
                <w:rFonts w:ascii="Times New Roman" w:hAnsi="Times New Roman"/>
                <w:color w:val="000000"/>
                <w:sz w:val="24"/>
              </w:rPr>
              <w:t>Annual Aggregate Product Net Sales:</w:t>
            </w:r>
          </w:p>
        </w:tc>
        <w:tc>
          <w:tcPr>
            <w:tcW w:w="2190" w:type="dxa"/>
            <w:tcBorders>
              <w:top w:val="single" w:sz="4" w:space="0" w:color="000000"/>
              <w:right w:val="single" w:sz="4" w:space="0" w:color="000000"/>
            </w:tcBorders>
            <w:tcMar>
              <w:left w:w="0" w:type="dxa"/>
              <w:bottom w:w="0" w:type="dxa"/>
            </w:tcMar>
            <w:vAlign w:val="center"/>
          </w:tcPr>
          <w:p>
            <w:pPr>
              <w:pStyle w:val="TableContents"/>
              <w:bidi w:val="0"/>
              <w:spacing w:before="40" w:after="283"/>
              <w:jc w:val="center"/>
              <w:rPr/>
            </w:pPr>
            <w:r>
              <w:rPr>
                <w:color w:val="000000"/>
              </w:rPr>
              <w:t>“</w:t>
            </w:r>
            <w:r>
              <w:rPr>
                <w:rFonts w:ascii="Times New Roman" w:hAnsi="Times New Roman"/>
                <w:color w:val="000000"/>
                <w:sz w:val="24"/>
                <w:u w:val="single"/>
              </w:rPr>
              <w:t>Base Revenue Percentage</w:t>
            </w:r>
            <w:r>
              <w:rPr>
                <w:rFonts w:ascii="Times New Roman" w:hAnsi="Times New Roman"/>
                <w:color w:val="000000"/>
                <w:sz w:val="24"/>
              </w:rPr>
              <w:t>”</w:t>
            </w:r>
          </w:p>
        </w:tc>
        <w:tc>
          <w:tcPr>
            <w:tcW w:w="2508" w:type="dxa"/>
            <w:tcBorders>
              <w:top w:val="single" w:sz="4" w:space="0" w:color="000000"/>
              <w:right w:val="single" w:sz="4" w:space="0" w:color="000000"/>
            </w:tcBorders>
            <w:tcMar>
              <w:left w:w="0" w:type="dxa"/>
              <w:bottom w:w="0" w:type="dxa"/>
            </w:tcMar>
            <w:vAlign w:val="center"/>
          </w:tcPr>
          <w:p>
            <w:pPr>
              <w:pStyle w:val="TableContents"/>
              <w:bidi w:val="0"/>
              <w:spacing w:before="40" w:after="283"/>
              <w:jc w:val="center"/>
              <w:rPr/>
            </w:pPr>
            <w:r>
              <w:rPr>
                <w:color w:val="000000"/>
              </w:rPr>
              <w:t>“</w:t>
            </w:r>
            <w:r>
              <w:rPr>
                <w:rFonts w:ascii="Times New Roman" w:hAnsi="Times New Roman"/>
                <w:color w:val="000000"/>
                <w:sz w:val="24"/>
                <w:u w:val="single"/>
              </w:rPr>
              <w:t>Tranche 4 Revenue Percentage</w:t>
            </w:r>
            <w:r>
              <w:rPr>
                <w:rFonts w:ascii="Times New Roman" w:hAnsi="Times New Roman"/>
                <w:color w:val="000000"/>
                <w:sz w:val="24"/>
              </w:rPr>
              <w:t>”</w:t>
            </w:r>
          </w:p>
        </w:tc>
        <w:tc>
          <w:tcPr>
            <w:tcW w:w="2565" w:type="dxa"/>
            <w:tcBorders>
              <w:top w:val="single" w:sz="4" w:space="0" w:color="000000"/>
              <w:right w:val="single" w:sz="4" w:space="0" w:color="000000"/>
            </w:tcBorders>
            <w:tcMar>
              <w:left w:w="0" w:type="dxa"/>
              <w:bottom w:w="0" w:type="dxa"/>
            </w:tcMar>
            <w:vAlign w:val="center"/>
          </w:tcPr>
          <w:p>
            <w:pPr>
              <w:pStyle w:val="TableContents"/>
              <w:bidi w:val="0"/>
              <w:spacing w:before="40" w:after="283"/>
              <w:jc w:val="center"/>
              <w:rPr/>
            </w:pPr>
            <w:r>
              <w:rPr>
                <w:color w:val="000000"/>
              </w:rPr>
              <w:t>“</w:t>
            </w:r>
            <w:r>
              <w:rPr>
                <w:rFonts w:ascii="Times New Roman" w:hAnsi="Times New Roman"/>
                <w:color w:val="000000"/>
                <w:sz w:val="24"/>
                <w:u w:val="single"/>
              </w:rPr>
              <w:t>Maximum Revenue Percentage</w:t>
            </w:r>
            <w:r>
              <w:rPr>
                <w:rFonts w:ascii="Times New Roman" w:hAnsi="Times New Roman"/>
                <w:color w:val="000000"/>
                <w:sz w:val="24"/>
              </w:rPr>
              <w:t>”</w:t>
            </w:r>
          </w:p>
        </w:tc>
      </w:tr>
      <w:tr>
        <w:trPr/>
        <w:tc>
          <w:tcPr>
            <w:tcW w:w="294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pPr>
            <w:r>
              <w:rPr/>
              <w:t> </w:t>
            </w:r>
          </w:p>
        </w:tc>
        <w:tc>
          <w:tcPr>
            <w:tcW w:w="219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5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5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2942" w:type="dxa"/>
            <w:tcBorders>
              <w:left w:val="single" w:sz="4" w:space="0" w:color="000000"/>
              <w:right w:val="single" w:sz="4" w:space="0" w:color="000000"/>
            </w:tcBorders>
            <w:tcMar>
              <w:top w:w="0" w:type="dxa"/>
              <w:bottom w:w="0" w:type="dxa"/>
            </w:tcMar>
            <w:vAlign w:val="center"/>
          </w:tcPr>
          <w:p>
            <w:pPr>
              <w:pStyle w:val="TableContents"/>
              <w:bidi w:val="0"/>
              <w:spacing w:before="0" w:after="283"/>
              <w:jc w:val="center"/>
              <w:rPr/>
            </w:pPr>
            <w:r>
              <w:rPr/>
              <w:t> </w:t>
            </w:r>
          </w:p>
        </w:tc>
        <w:tc>
          <w:tcPr>
            <w:tcW w:w="2190"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2508"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2565" w:type="dxa"/>
            <w:tcBorders>
              <w:right w:val="single" w:sz="4" w:space="0" w:color="000000"/>
            </w:tcBorders>
            <w:tcMar>
              <w:top w:w="0" w:type="dxa"/>
              <w:left w:w="0" w:type="dxa"/>
              <w:bottom w:w="0" w:type="dxa"/>
            </w:tcMar>
            <w:vAlign w:val="center"/>
          </w:tcPr>
          <w:p>
            <w:pPr>
              <w:pStyle w:val="TableContents"/>
              <w:bidi w:val="0"/>
              <w:spacing w:before="0" w:after="283"/>
              <w:ind w:left="0" w:right="0" w:firstLine="72"/>
              <w:jc w:val="center"/>
              <w:rPr/>
            </w:pPr>
            <w:r>
              <w:rPr/>
              <w:t> </w:t>
            </w:r>
          </w:p>
        </w:tc>
      </w:tr>
      <w:tr>
        <w:trPr/>
        <w:tc>
          <w:tcPr>
            <w:tcW w:w="294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72"/>
              <w:jc w:val="center"/>
              <w:rPr>
                <w:rFonts w:ascii="Times New Roman" w:hAnsi="Times New Roman"/>
                <w:sz w:val="24"/>
              </w:rPr>
            </w:pPr>
            <w:r>
              <w:rPr>
                <w:rFonts w:ascii="Times New Roman" w:hAnsi="Times New Roman"/>
                <w:color w:val="000000"/>
                <w:sz w:val="24"/>
              </w:rPr>
              <w:t>up to and including [ * * * ] (“</w:t>
            </w:r>
            <w:r>
              <w:rPr>
                <w:rFonts w:ascii="Times New Roman" w:hAnsi="Times New Roman"/>
                <w:color w:val="000000"/>
                <w:sz w:val="24"/>
                <w:u w:val="single"/>
              </w:rPr>
              <w:t>Tier 1</w:t>
            </w:r>
            <w:r>
              <w:rPr>
                <w:rFonts w:ascii="Times New Roman" w:hAnsi="Times New Roman"/>
                <w:color w:val="000000"/>
                <w:sz w:val="24"/>
              </w:rPr>
              <w:t>”)</w:t>
            </w:r>
          </w:p>
        </w:tc>
        <w:tc>
          <w:tcPr>
            <w:tcW w:w="2190" w:type="dxa"/>
            <w:tcBorders>
              <w:right w:val="single" w:sz="4" w:space="0" w:color="000000"/>
            </w:tcBorders>
            <w:tcMar>
              <w:top w:w="0" w:type="dxa"/>
              <w:left w:w="0" w:type="dxa"/>
              <w:bottom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0.9375%</w:t>
            </w:r>
            <w:r>
              <w:rPr>
                <w:rFonts w:ascii="Times New Roman" w:hAnsi="Times New Roman"/>
                <w:color w:val="000000"/>
                <w:sz w:val="16"/>
              </w:rPr>
              <w:t>#</w:t>
            </w:r>
          </w:p>
        </w:tc>
        <w:tc>
          <w:tcPr>
            <w:tcW w:w="2508" w:type="dxa"/>
            <w:tcBorders>
              <w:right w:val="single" w:sz="4" w:space="0" w:color="000000"/>
            </w:tcBorders>
            <w:tcMar>
              <w:top w:w="0" w:type="dxa"/>
              <w:left w:w="0" w:type="dxa"/>
              <w:bottom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2.50%*</w:t>
            </w:r>
          </w:p>
        </w:tc>
        <w:tc>
          <w:tcPr>
            <w:tcW w:w="2565" w:type="dxa"/>
            <w:tcBorders>
              <w:right w:val="single" w:sz="4" w:space="0" w:color="000000"/>
            </w:tcBorders>
            <w:tcMar>
              <w:top w:w="0" w:type="dxa"/>
              <w:left w:w="0" w:type="dxa"/>
              <w:bottom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3.4375%**</w:t>
            </w:r>
          </w:p>
        </w:tc>
      </w:tr>
      <w:tr>
        <w:trPr/>
        <w:tc>
          <w:tcPr>
            <w:tcW w:w="294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pPr>
            <w:r>
              <w:rPr/>
              <w:t> </w:t>
            </w:r>
          </w:p>
        </w:tc>
        <w:tc>
          <w:tcPr>
            <w:tcW w:w="219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5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5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2942" w:type="dxa"/>
            <w:tcBorders>
              <w:left w:val="single" w:sz="4" w:space="0" w:color="000000"/>
              <w:right w:val="single" w:sz="4" w:space="0" w:color="000000"/>
            </w:tcBorders>
            <w:tcMar>
              <w:top w:w="0" w:type="dxa"/>
              <w:bottom w:w="0" w:type="dxa"/>
            </w:tcMar>
            <w:vAlign w:val="center"/>
          </w:tcPr>
          <w:p>
            <w:pPr>
              <w:pStyle w:val="TableContents"/>
              <w:bidi w:val="0"/>
              <w:spacing w:before="0" w:after="283"/>
              <w:jc w:val="center"/>
              <w:rPr/>
            </w:pPr>
            <w:r>
              <w:rPr/>
              <w:t> </w:t>
            </w:r>
          </w:p>
        </w:tc>
        <w:tc>
          <w:tcPr>
            <w:tcW w:w="2190"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2508"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2565" w:type="dxa"/>
            <w:tcBorders>
              <w:right w:val="single" w:sz="4" w:space="0" w:color="000000"/>
            </w:tcBorders>
            <w:tcMar>
              <w:top w:w="0" w:type="dxa"/>
              <w:left w:w="0" w:type="dxa"/>
              <w:bottom w:w="0" w:type="dxa"/>
            </w:tcMar>
            <w:vAlign w:val="center"/>
          </w:tcPr>
          <w:p>
            <w:pPr>
              <w:pStyle w:val="TableContents"/>
              <w:bidi w:val="0"/>
              <w:spacing w:before="0" w:after="283"/>
              <w:ind w:left="0" w:right="0" w:firstLine="72"/>
              <w:jc w:val="center"/>
              <w:rPr/>
            </w:pPr>
            <w:r>
              <w:rPr/>
              <w:t> </w:t>
            </w:r>
          </w:p>
        </w:tc>
      </w:tr>
      <w:tr>
        <w:trPr/>
        <w:tc>
          <w:tcPr>
            <w:tcW w:w="2942" w:type="dxa"/>
            <w:tcBorders>
              <w:left w:val="single" w:sz="4" w:space="0" w:color="000000"/>
              <w:right w:val="single" w:sz="4" w:space="0" w:color="000000"/>
            </w:tcBorders>
            <w:tcMar>
              <w:top w:w="0" w:type="dxa"/>
              <w:bottom w:w="0" w:type="dxa"/>
            </w:tcMar>
            <w:vAlign w:val="center"/>
          </w:tcPr>
          <w:p>
            <w:pPr>
              <w:pStyle w:val="TableContents"/>
              <w:bidi w:val="0"/>
              <w:ind w:left="0" w:right="0" w:firstLine="72"/>
              <w:jc w:val="center"/>
              <w:rPr>
                <w:rFonts w:ascii="Times New Roman" w:hAnsi="Times New Roman"/>
                <w:color w:val="000000"/>
                <w:sz w:val="24"/>
              </w:rPr>
            </w:pPr>
            <w:r>
              <w:rPr>
                <w:rFonts w:ascii="Times New Roman" w:hAnsi="Times New Roman"/>
                <w:color w:val="000000"/>
                <w:sz w:val="24"/>
              </w:rPr>
              <w:t xml:space="preserve">in excess of </w:t>
            </w:r>
          </w:p>
          <w:p>
            <w:pPr>
              <w:pStyle w:val="TableContents"/>
              <w:bidi w:val="0"/>
              <w:ind w:left="0" w:right="0" w:firstLine="72"/>
              <w:jc w:val="center"/>
              <w:rPr>
                <w:rFonts w:ascii="Times New Roman" w:hAnsi="Times New Roman"/>
                <w:color w:val="000000"/>
                <w:sz w:val="24"/>
              </w:rPr>
            </w:pPr>
            <w:r>
              <w:rPr>
                <w:rFonts w:ascii="Times New Roman" w:hAnsi="Times New Roman"/>
                <w:color w:val="000000"/>
                <w:sz w:val="24"/>
              </w:rPr>
              <w:t xml:space="preserve">[ * * * ], but less than or equal to </w:t>
            </w:r>
          </w:p>
          <w:p>
            <w:pPr>
              <w:pStyle w:val="TableContents"/>
              <w:bidi w:val="0"/>
              <w:spacing w:before="0" w:after="283"/>
              <w:ind w:left="0" w:right="0" w:firstLine="72"/>
              <w:jc w:val="center"/>
              <w:rPr>
                <w:rFonts w:ascii="Times New Roman" w:hAnsi="Times New Roman"/>
                <w:sz w:val="24"/>
              </w:rPr>
            </w:pPr>
            <w:r>
              <w:rPr>
                <w:rFonts w:ascii="Times New Roman" w:hAnsi="Times New Roman"/>
                <w:color w:val="000000"/>
                <w:sz w:val="24"/>
              </w:rPr>
              <w:t>[ * * * ] (“</w:t>
            </w:r>
            <w:r>
              <w:rPr>
                <w:rFonts w:ascii="Times New Roman" w:hAnsi="Times New Roman"/>
                <w:color w:val="000000"/>
                <w:sz w:val="24"/>
                <w:u w:val="single"/>
              </w:rPr>
              <w:t>Tier 2</w:t>
            </w:r>
            <w:r>
              <w:rPr>
                <w:rFonts w:ascii="Times New Roman" w:hAnsi="Times New Roman"/>
                <w:color w:val="000000"/>
                <w:sz w:val="24"/>
              </w:rPr>
              <w:t>”)</w:t>
            </w:r>
          </w:p>
        </w:tc>
        <w:tc>
          <w:tcPr>
            <w:tcW w:w="2190" w:type="dxa"/>
            <w:tcBorders>
              <w:right w:val="single" w:sz="4" w:space="0" w:color="000000"/>
            </w:tcBorders>
            <w:tcMar>
              <w:top w:w="0" w:type="dxa"/>
              <w:left w:w="0" w:type="dxa"/>
              <w:bottom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0.25%</w:t>
            </w:r>
            <w:r>
              <w:rPr>
                <w:rFonts w:ascii="Times New Roman" w:hAnsi="Times New Roman"/>
                <w:color w:val="000000"/>
                <w:sz w:val="16"/>
              </w:rPr>
              <w:t>#</w:t>
            </w:r>
          </w:p>
        </w:tc>
        <w:tc>
          <w:tcPr>
            <w:tcW w:w="2508" w:type="dxa"/>
            <w:tcBorders>
              <w:right w:val="single" w:sz="4" w:space="0" w:color="000000"/>
            </w:tcBorders>
            <w:tcMar>
              <w:top w:w="0" w:type="dxa"/>
              <w:left w:w="0" w:type="dxa"/>
              <w:bottom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0.00%</w:t>
            </w:r>
          </w:p>
        </w:tc>
        <w:tc>
          <w:tcPr>
            <w:tcW w:w="2565" w:type="dxa"/>
            <w:tcBorders>
              <w:right w:val="single" w:sz="4" w:space="0" w:color="000000"/>
            </w:tcBorders>
            <w:tcMar>
              <w:top w:w="0" w:type="dxa"/>
              <w:left w:w="0" w:type="dxa"/>
              <w:bottom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0.25%**</w:t>
            </w:r>
          </w:p>
        </w:tc>
      </w:tr>
      <w:tr>
        <w:trPr/>
        <w:tc>
          <w:tcPr>
            <w:tcW w:w="294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pPr>
            <w:r>
              <w:rPr/>
              <w:t> </w:t>
            </w:r>
          </w:p>
        </w:tc>
        <w:tc>
          <w:tcPr>
            <w:tcW w:w="219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5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25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F</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APG777 Phase3 Clinical Trials</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G</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APG777 Product Rights</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H</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Data Room Index</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 CERTAIN CONFIDENTIAL INFORMATION CONTAINED IN THIS DOCUMENT, MARKED BY BRACKETS, HAS BEEN OMITTED BECAUSE THE INFORMATION (I) IS NOT MATERIAL AND (II) WOULD BE COMPETITIVELY HARMFUL IF PUBLICLY DISCLOSED.</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CoC Scenarios</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apge-ex31_1.htm"/>
      <w:bookmarkStart w:id="40" w:name="ksapgeex31_1"/>
      <w:bookmarkEnd w:id="39"/>
      <w:bookmarkEnd w:id="40"/>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 Michael Henderson,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Apogee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979" w:type="dxa"/>
        <w:jc w:val="left"/>
        <w:tblInd w:w="0" w:type="dxa"/>
        <w:tblLayout w:type="fixed"/>
        <w:tblCellMar>
          <w:top w:w="28" w:type="dxa"/>
          <w:left w:w="28" w:type="dxa"/>
          <w:bottom w:w="28" w:type="dxa"/>
          <w:right w:w="28" w:type="dxa"/>
        </w:tblCellMar>
      </w:tblPr>
      <w:tblGrid>
        <w:gridCol w:w="1951"/>
        <w:gridCol w:w="406"/>
        <w:gridCol w:w="14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Henderson,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Henderson,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apge-ex31_2.htm"/>
      <w:bookmarkStart w:id="42" w:name="ksapgeex31_2"/>
      <w:bookmarkEnd w:id="41"/>
      <w:bookmarkEnd w:id="42"/>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 Jane Pritchett Henderson,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Apogee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254" w:type="dxa"/>
        <w:jc w:val="left"/>
        <w:tblInd w:w="0" w:type="dxa"/>
        <w:tblLayout w:type="fixed"/>
        <w:tblCellMar>
          <w:top w:w="28" w:type="dxa"/>
          <w:left w:w="28" w:type="dxa"/>
          <w:bottom w:w="28" w:type="dxa"/>
          <w:right w:w="28" w:type="dxa"/>
        </w:tblCellMar>
      </w:tblPr>
      <w:tblGrid>
        <w:gridCol w:w="1951"/>
        <w:gridCol w:w="406"/>
        <w:gridCol w:w="146"/>
        <w:gridCol w:w="375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Jane Pritchett Henderson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Jane Pritchett Henderson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apge-ex32_1.htm"/>
      <w:bookmarkStart w:id="44" w:name="ksapgeex32_1"/>
      <w:bookmarkEnd w:id="43"/>
      <w:bookmarkEnd w:id="44"/>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 connection with the Quarterly Report on Form 10-Q of Apogee Therapeutics, Inc. (the “Company”) for the period ended June 30, 2026, as filed with the Securities and Exchange Commission on the date hereof (the “Report”), each of the undersigned officers of the Company hereby certifies, pursuant to 18 U.S.C. § 1350, as adopted pursuant to § 906 of the Sarbanes-Oxley Act of 2002, that to the best of his or her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107" w:type="dxa"/>
        <w:jc w:val="left"/>
        <w:tblInd w:w="0" w:type="dxa"/>
        <w:tblLayout w:type="fixed"/>
        <w:tblCellMar>
          <w:top w:w="28" w:type="dxa"/>
          <w:left w:w="28" w:type="dxa"/>
          <w:bottom w:w="28" w:type="dxa"/>
          <w:right w:w="28" w:type="dxa"/>
        </w:tblCellMar>
      </w:tblPr>
      <w:tblGrid>
        <w:gridCol w:w="1951"/>
        <w:gridCol w:w="232"/>
        <w:gridCol w:w="173"/>
        <w:gridCol w:w="3751"/>
      </w:tblGrid>
      <w:tr>
        <w:trPr/>
        <w:tc>
          <w:tcPr>
            <w:tcW w:w="19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Henderson,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Henderson,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Executive Officer</w:t>
              <w:br/>
            </w:r>
            <w:r>
              <w:rPr>
                <w:rFonts w:ascii="Times New Roman" w:hAnsi="Times New Roman"/>
                <w:i/>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39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Jane Pritchett Henderson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Jane Pritchett Henderson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w:t>
              <w:br/>
            </w:r>
            <w:r>
              <w:rPr>
                <w:rFonts w:ascii="Times New Roman" w:hAnsi="Times New Roman"/>
                <w:i/>
                <w:color w:val="000000"/>
                <w:sz w:val="20"/>
              </w:rPr>
              <w:t>(principal financial and accounting officer)</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A signed original of this written statement required by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74640/000155837023015278/apge-20230630xex2d1.htm" TargetMode="External"/><Relationship Id="rId3" Type="http://schemas.openxmlformats.org/officeDocument/2006/relationships/hyperlink" Target="https://www.sec.gov/Archives/edgar/data/1974640/000114036126025844/ef20076505_ex2-1.htm" TargetMode="External"/><Relationship Id="rId4" Type="http://schemas.openxmlformats.org/officeDocument/2006/relationships/hyperlink" Target="https://www.sec.gov/Archives/edgar/data/1974640/000155837023015278/apge-20230630xex3d1.htm" TargetMode="External"/><Relationship Id="rId5" Type="http://schemas.openxmlformats.org/officeDocument/2006/relationships/hyperlink" Target="https://www.sec.gov/Archives/edgar/data/1974640/000155837023015278/apge-20230630xex3d2.htm" TargetMode="External"/><Relationship Id="rId6" Type="http://schemas.openxmlformats.org/officeDocument/2006/relationships/hyperlink" Target="https://www.sec.gov/Archives/edgar/data/1974640/000110465923077648/tm2313083d10_ex4-1.htm" TargetMode="External"/><Relationship Id="rId7" Type="http://schemas.openxmlformats.org/officeDocument/2006/relationships/hyperlink" Target="https://www.sec.gov/Archives/edgar/data/1974640/000155837023015278/apge-20230630xex4d2.htm" TargetMode="External"/><Relationship Id="rId8" Type="http://schemas.openxmlformats.org/officeDocument/2006/relationships/hyperlink" Target="https://www.sec.gov/Archives/edgar/data/1974640/000110465925098487/tm2528385d1_ex4-1.htm" TargetMode="External"/><Relationship Id="rId9" Type="http://schemas.openxmlformats.org/officeDocument/2006/relationships/hyperlink" Target="https://www.sec.gov/Archives/edgar/data/1974640/000114036126025841/ef20076542_ex10-1.htm" TargetMode="External"/><Relationship Id="rId10" Type="http://schemas.openxmlformats.org/officeDocument/2006/relationships/hyperlink" Target="https://www.sec.gov/Archives/edgar/data/1974640/000114036126025841/ef20076542_ex10-2.htm" TargetMode="External"/><Relationship Id="rId11" Type="http://schemas.openxmlformats.org/officeDocument/2006/relationships/hyperlink" Target="https://www.sec.gov/Archives/edgar/data/1974640/000114036126025844/ef20076505_ex99-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84957</Words>
  <Characters>467815</Characters>
  <CharactersWithSpaces>552465</CharactersWithSpaces>
  <Paragraphs>7086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